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8"/>
        </w:rPr>
        <w:t xml:space="preserve"> </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公开招标文件</w:t>
      </w:r>
      <w:r/>
    </w:p>
    <w:p>
      <w:pPr>
        <w:ind w:left="0" w:right="0" w:firstLine="1446"/>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446"/>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446"/>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446"/>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08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项目编号：JSZC-320106-NJJC-G2026-0042</w:t>
      </w:r>
      <w:r/>
    </w:p>
    <w:p>
      <w:pPr>
        <w:ind w:left="0" w:right="0" w:firstLine="108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项目名称：2026年鼓楼区排水设施大中修服务项目</w:t>
      </w:r>
      <w:r/>
    </w:p>
    <w:p>
      <w:pPr>
        <w:ind w:left="0" w:right="0" w:firstLine="1084"/>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项目类型：服务类</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r/>
      <w:r/>
      <w:r>
        <w:rPr>
          <w:rFonts w:ascii="Times New Roman" w:hAnsi="Times New Roman" w:eastAsia="Times New Roman" w:cs="Times New Roman"/>
          <w:sz w:val="21"/>
        </w:rPr>
      </w:r>
      <w:r>
        <w:rPr>
          <w:rFonts w:ascii="Times New Roman" w:hAnsi="Times New Roman" w:eastAsia="Times New Roman" w:cs="Times New Roman"/>
          <w:sz w:val="21"/>
        </w:rP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698"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采购人：南京市鼓楼区水务设施综合养护中心</w:t>
      </w:r>
      <w:r/>
    </w:p>
    <w:p>
      <w:pPr>
        <w:ind w:left="698"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采购代理机构：南京江城工程项目管理有限公司</w:t>
      </w:r>
      <w:r/>
    </w:p>
    <w:p>
      <w:pPr>
        <w:ind w:left="1572" w:right="1933"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二○二六年五月</w:t>
      </w:r>
      <w:r/>
      <w:r/>
      <w:r>
        <w:br w:type="page" w:clear="all"/>
      </w:r>
      <w:r/>
      <w:r>
        <w:rPr>
          <w:rFonts w:ascii="Times New Roman" w:hAnsi="Times New Roman" w:eastAsia="Times New Roman" w:cs="Times New Roman"/>
          <w:sz w:val="21"/>
        </w:rPr>
      </w:r>
      <w:r>
        <w:rPr>
          <w:rFonts w:ascii="Times New Roman" w:hAnsi="Times New Roman" w:eastAsia="Times New Roman" w:cs="Times New Roman"/>
          <w:sz w:val="21"/>
        </w:rP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目录</w:t>
      </w:r>
      <w:r/>
    </w:p>
    <w:p>
      <w:pPr>
        <w:ind w:left="0" w:right="0" w:firstLine="0"/>
        <w:jc w:val="both"/>
        <w:spacing w:before="0" w:after="0" w:line="479" w:lineRule="atLeast"/>
        <w:tabs>
          <w:tab w:val="left" w:pos="9638" w:leader="none"/>
        </w:tabs>
        <w:pBdr>
          <w:top w:val="none" w:color="000000" w:sz="4" w:space="0"/>
          <w:left w:val="none" w:color="000000" w:sz="4" w:space="0"/>
          <w:bottom w:val="none" w:color="000000" w:sz="4" w:space="0"/>
          <w:right w:val="none" w:color="000000" w:sz="4" w:space="0"/>
        </w:pBdr>
      </w:pPr>
      <w:r/>
      <w:hyperlink r:id="rId13" w:tooltip="http://jszfcg.jsczt.cn/jszc/onlyoffice/7.2.1-34/web-apps/apps/documenteditor/main/index_loader.html?_dc=7.2.1-34&amp;lang=zh&amp;customer=%20&amp;logo=%20&amp;headerlogo=%2Ffavicon.ico&amp;frameEditorId=iframePage&amp;compact=true&amp;parentOrigin=http://jszfcg.jsczt.cn#_Toc3988" w:history="1">
        <w:r>
          <w:rPr>
            <w:rStyle w:val="1057"/>
            <w:rFonts w:ascii="SimHei" w:hAnsi="SimHei" w:eastAsia="SimHei" w:cs="SimHei"/>
            <w:color w:val="0000ee"/>
            <w:sz w:val="24"/>
            <w:u w:val="single"/>
          </w:rPr>
          <w:t xml:space="preserve">第一章</w:t>
        </w:r>
        <w:r>
          <w:rPr>
            <w:rStyle w:val="1057"/>
            <w:rFonts w:ascii="SimHei" w:hAnsi="SimHei" w:eastAsia="SimHei" w:cs="SimHei"/>
            <w:color w:val="0000ee"/>
            <w:sz w:val="24"/>
            <w:u w:val="none"/>
          </w:rPr>
          <w:t xml:space="preserve"> </w:t>
        </w:r>
        <w:r>
          <w:rPr>
            <w:rStyle w:val="1057"/>
            <w:rFonts w:ascii="SimHei" w:hAnsi="SimHei" w:eastAsia="SimHei" w:cs="SimHei"/>
            <w:color w:val="0000ee"/>
            <w:sz w:val="24"/>
            <w:u w:val="single"/>
          </w:rPr>
          <w:t xml:space="preserve">投标邀请书（招标公告）</w:t>
          <w:tab/>
        </w:r>
      </w:hyperlink>
      <w:r/>
      <w:r/>
    </w:p>
    <w:p>
      <w:pPr>
        <w:ind w:left="240" w:right="0" w:firstLine="53"/>
        <w:spacing w:before="200" w:after="200" w:line="479" w:lineRule="atLeast"/>
        <w:tabs>
          <w:tab w:val="left" w:pos="9638" w:leader="none"/>
        </w:tabs>
        <w:pBdr>
          <w:top w:val="none" w:color="000000" w:sz="4" w:space="0"/>
          <w:left w:val="none" w:color="000000" w:sz="4" w:space="0"/>
          <w:bottom w:val="none" w:color="000000" w:sz="4" w:space="0"/>
          <w:right w:val="none" w:color="000000" w:sz="4" w:space="0"/>
        </w:pBdr>
      </w:pPr>
      <w:r/>
      <w:hyperlink r:id="rId14" w:tooltip="http://jszfcg.jsczt.cn/jszc/onlyoffice/7.2.1-34/web-apps/apps/documenteditor/main/index_loader.html?_dc=7.2.1-34&amp;lang=zh&amp;customer=%20&amp;logo=%20&amp;headerlogo=%2Ffavicon.ico&amp;frameEditorId=iframePage&amp;compact=true&amp;parentOrigin=http://jszfcg.jsczt.cn#_Toc21988" w:history="1">
        <w:r>
          <w:rPr>
            <w:rStyle w:val="1057"/>
            <w:rFonts w:ascii="SimHei" w:hAnsi="SimHei" w:eastAsia="SimHei" w:cs="SimHei"/>
            <w:color w:val="0000ee"/>
            <w:sz w:val="24"/>
            <w:u w:val="single"/>
          </w:rPr>
          <w:t xml:space="preserve">一、项目基本情况</w:t>
          <w:tab/>
        </w:r>
      </w:hyperlink>
      <w:r/>
      <w:r/>
    </w:p>
    <w:p>
      <w:pPr>
        <w:ind w:left="240" w:right="0" w:firstLine="53"/>
        <w:spacing w:before="200" w:after="200" w:line="479" w:lineRule="atLeast"/>
        <w:tabs>
          <w:tab w:val="left" w:pos="9638" w:leader="none"/>
        </w:tabs>
        <w:pBdr>
          <w:top w:val="none" w:color="000000" w:sz="4" w:space="0"/>
          <w:left w:val="none" w:color="000000" w:sz="4" w:space="0"/>
          <w:bottom w:val="none" w:color="000000" w:sz="4" w:space="0"/>
          <w:right w:val="none" w:color="000000" w:sz="4" w:space="0"/>
        </w:pBdr>
      </w:pPr>
      <w:r/>
      <w:hyperlink r:id="rId15" w:tooltip="http://jszfcg.jsczt.cn/jszc/onlyoffice/7.2.1-34/web-apps/apps/documenteditor/main/index_loader.html?_dc=7.2.1-34&amp;lang=zh&amp;customer=%20&amp;logo=%20&amp;headerlogo=%2Ffavicon.ico&amp;frameEditorId=iframePage&amp;compact=true&amp;parentOrigin=http://jszfcg.jsczt.cn#_Toc11201" w:history="1">
        <w:r>
          <w:rPr>
            <w:rStyle w:val="1057"/>
            <w:rFonts w:ascii="SimHei" w:hAnsi="SimHei" w:eastAsia="SimHei" w:cs="SimHei"/>
            <w:color w:val="0000ee"/>
            <w:sz w:val="24"/>
            <w:u w:val="single"/>
          </w:rPr>
          <w:t xml:space="preserve">二、申请人的资格要求：</w:t>
          <w:tab/>
        </w:r>
      </w:hyperlink>
      <w:r/>
      <w:r/>
    </w:p>
    <w:p>
      <w:pPr>
        <w:ind w:left="240" w:right="0" w:firstLine="53"/>
        <w:spacing w:before="200" w:after="200" w:line="479" w:lineRule="atLeast"/>
        <w:tabs>
          <w:tab w:val="left" w:pos="9638" w:leader="none"/>
        </w:tabs>
        <w:pBdr>
          <w:top w:val="none" w:color="000000" w:sz="4" w:space="0"/>
          <w:left w:val="none" w:color="000000" w:sz="4" w:space="0"/>
          <w:bottom w:val="none" w:color="000000" w:sz="4" w:space="0"/>
          <w:right w:val="none" w:color="000000" w:sz="4" w:space="0"/>
        </w:pBdr>
      </w:pPr>
      <w:r/>
      <w:hyperlink r:id="rId16" w:tooltip="http://jszfcg.jsczt.cn/jszc/onlyoffice/7.2.1-34/web-apps/apps/documenteditor/main/index_loader.html?_dc=7.2.1-34&amp;lang=zh&amp;customer=%20&amp;logo=%20&amp;headerlogo=%2Ffavicon.ico&amp;frameEditorId=iframePage&amp;compact=true&amp;parentOrigin=http://jszfcg.jsczt.cn#_Toc10484" w:history="1">
        <w:r>
          <w:rPr>
            <w:rStyle w:val="1057"/>
            <w:rFonts w:ascii="SimHei" w:hAnsi="SimHei" w:eastAsia="SimHei" w:cs="SimHei"/>
            <w:color w:val="0000ee"/>
            <w:sz w:val="24"/>
            <w:u w:val="single"/>
          </w:rPr>
          <w:t xml:space="preserve">三、获取招标文件</w:t>
          <w:tab/>
        </w:r>
      </w:hyperlink>
      <w:r/>
      <w:r/>
    </w:p>
    <w:p>
      <w:pPr>
        <w:ind w:left="240" w:right="0" w:firstLine="53"/>
        <w:spacing w:before="200" w:after="200" w:line="479" w:lineRule="atLeast"/>
        <w:tabs>
          <w:tab w:val="left" w:pos="9638" w:leader="none"/>
        </w:tabs>
        <w:pBdr>
          <w:top w:val="none" w:color="000000" w:sz="4" w:space="0"/>
          <w:left w:val="none" w:color="000000" w:sz="4" w:space="0"/>
          <w:bottom w:val="none" w:color="000000" w:sz="4" w:space="0"/>
          <w:right w:val="none" w:color="000000" w:sz="4" w:space="0"/>
        </w:pBdr>
      </w:pPr>
      <w:r/>
      <w:hyperlink r:id="rId17" w:tooltip="http://jszfcg.jsczt.cn/jszc/onlyoffice/7.2.1-34/web-apps/apps/documenteditor/main/index_loader.html?_dc=7.2.1-34&amp;lang=zh&amp;customer=%20&amp;logo=%20&amp;headerlogo=%2Ffavicon.ico&amp;frameEditorId=iframePage&amp;compact=true&amp;parentOrigin=http://jszfcg.jsczt.cn#_Toc2411" w:history="1">
        <w:r>
          <w:rPr>
            <w:rStyle w:val="1057"/>
            <w:rFonts w:ascii="SimHei" w:hAnsi="SimHei" w:eastAsia="SimHei" w:cs="SimHei"/>
            <w:color w:val="0000ee"/>
            <w:sz w:val="24"/>
            <w:u w:val="single"/>
          </w:rPr>
          <w:t xml:space="preserve">四、提交投标文件截止时间、开标时间和地点</w:t>
          <w:tab/>
        </w:r>
      </w:hyperlink>
      <w:r/>
      <w:r/>
    </w:p>
    <w:p>
      <w:pPr>
        <w:ind w:left="240" w:right="0" w:firstLine="53"/>
        <w:spacing w:before="200" w:after="200" w:line="479" w:lineRule="atLeast"/>
        <w:tabs>
          <w:tab w:val="left" w:pos="9638" w:leader="none"/>
        </w:tabs>
        <w:pBdr>
          <w:top w:val="none" w:color="000000" w:sz="4" w:space="0"/>
          <w:left w:val="none" w:color="000000" w:sz="4" w:space="0"/>
          <w:bottom w:val="none" w:color="000000" w:sz="4" w:space="0"/>
          <w:right w:val="none" w:color="000000" w:sz="4" w:space="0"/>
        </w:pBdr>
      </w:pPr>
      <w:r/>
      <w:hyperlink r:id="rId18" w:tooltip="http://jszfcg.jsczt.cn/jszc/onlyoffice/7.2.1-34/web-apps/apps/documenteditor/main/index_loader.html?_dc=7.2.1-34&amp;lang=zh&amp;customer=%20&amp;logo=%20&amp;headerlogo=%2Ffavicon.ico&amp;frameEditorId=iframePage&amp;compact=true&amp;parentOrigin=http://jszfcg.jsczt.cn#_Toc8834" w:history="1">
        <w:r>
          <w:rPr>
            <w:rStyle w:val="1057"/>
            <w:rFonts w:ascii="SimHei" w:hAnsi="SimHei" w:eastAsia="SimHei" w:cs="SimHei"/>
            <w:color w:val="0000ee"/>
            <w:sz w:val="24"/>
            <w:u w:val="single"/>
          </w:rPr>
          <w:t xml:space="preserve">五、公告期限</w:t>
          <w:tab/>
        </w:r>
      </w:hyperlink>
      <w:r/>
      <w:r/>
    </w:p>
    <w:p>
      <w:pPr>
        <w:ind w:left="240" w:right="0" w:firstLine="53"/>
        <w:spacing w:before="200" w:after="200" w:line="479" w:lineRule="atLeast"/>
        <w:tabs>
          <w:tab w:val="left" w:pos="9638" w:leader="none"/>
        </w:tabs>
        <w:pBdr>
          <w:top w:val="none" w:color="000000" w:sz="4" w:space="0"/>
          <w:left w:val="none" w:color="000000" w:sz="4" w:space="0"/>
          <w:bottom w:val="none" w:color="000000" w:sz="4" w:space="0"/>
          <w:right w:val="none" w:color="000000" w:sz="4" w:space="0"/>
        </w:pBdr>
      </w:pPr>
      <w:r/>
      <w:hyperlink r:id="rId19" w:tooltip="http://jszfcg.jsczt.cn/jszc/onlyoffice/7.2.1-34/web-apps/apps/documenteditor/main/index_loader.html?_dc=7.2.1-34&amp;lang=zh&amp;customer=%20&amp;logo=%20&amp;headerlogo=%2Ffavicon.ico&amp;frameEditorId=iframePage&amp;compact=true&amp;parentOrigin=http://jszfcg.jsczt.cn#_Toc8119" w:history="1">
        <w:r>
          <w:rPr>
            <w:rStyle w:val="1057"/>
            <w:rFonts w:ascii="SimHei" w:hAnsi="SimHei" w:eastAsia="SimHei" w:cs="SimHei"/>
            <w:color w:val="0000ee"/>
            <w:sz w:val="24"/>
            <w:u w:val="single"/>
          </w:rPr>
          <w:t xml:space="preserve">六、其他补充事宜</w:t>
          <w:tab/>
        </w:r>
      </w:hyperlink>
      <w:r/>
      <w:r/>
    </w:p>
    <w:p>
      <w:pPr>
        <w:ind w:left="240" w:right="0" w:firstLine="53"/>
        <w:spacing w:before="200" w:after="200" w:line="479" w:lineRule="atLeast"/>
        <w:tabs>
          <w:tab w:val="left" w:pos="9638" w:leader="none"/>
        </w:tabs>
        <w:pBdr>
          <w:top w:val="none" w:color="000000" w:sz="4" w:space="0"/>
          <w:left w:val="none" w:color="000000" w:sz="4" w:space="0"/>
          <w:bottom w:val="none" w:color="000000" w:sz="4" w:space="0"/>
          <w:right w:val="none" w:color="000000" w:sz="4" w:space="0"/>
        </w:pBdr>
      </w:pPr>
      <w:r/>
      <w:hyperlink r:id="rId20" w:tooltip="http://jszfcg.jsczt.cn/jszc/onlyoffice/7.2.1-34/web-apps/apps/documenteditor/main/index_loader.html?_dc=7.2.1-34&amp;lang=zh&amp;customer=%20&amp;logo=%20&amp;headerlogo=%2Ffavicon.ico&amp;frameEditorId=iframePage&amp;compact=true&amp;parentOrigin=http://jszfcg.jsczt.cn#_Toc9950" w:history="1">
        <w:r>
          <w:rPr>
            <w:rStyle w:val="1057"/>
            <w:rFonts w:ascii="SimHei" w:hAnsi="SimHei" w:eastAsia="SimHei" w:cs="SimHei"/>
            <w:color w:val="0000ee"/>
            <w:sz w:val="24"/>
            <w:u w:val="single"/>
          </w:rPr>
          <w:t xml:space="preserve">七、对本次招标提出询问，请按以下方式联系。</w:t>
          <w:tab/>
        </w:r>
      </w:hyperlink>
      <w:r/>
      <w:r/>
    </w:p>
    <w:p>
      <w:pPr>
        <w:ind w:left="0" w:right="0" w:firstLine="0"/>
        <w:jc w:val="both"/>
        <w:spacing w:before="0" w:after="0" w:line="400" w:lineRule="atLeast"/>
        <w:tabs>
          <w:tab w:val="left" w:pos="9638" w:leader="none"/>
        </w:tabs>
        <w:pBdr>
          <w:top w:val="none" w:color="000000" w:sz="4" w:space="0"/>
          <w:left w:val="none" w:color="000000" w:sz="4" w:space="0"/>
          <w:bottom w:val="none" w:color="000000" w:sz="4" w:space="0"/>
          <w:right w:val="none" w:color="000000" w:sz="4" w:space="0"/>
        </w:pBdr>
      </w:pPr>
      <w:r/>
      <w:hyperlink r:id="rId21" w:tooltip="http://jszfcg.jsczt.cn/jszc/onlyoffice/7.2.1-34/web-apps/apps/documenteditor/main/index_loader.html?_dc=7.2.1-34&amp;lang=zh&amp;customer=%20&amp;logo=%20&amp;headerlogo=%2Ffavicon.ico&amp;frameEditorId=iframePage&amp;compact=true&amp;parentOrigin=http://jszfcg.jsczt.cn#_Toc19588" w:history="1">
        <w:r>
          <w:rPr>
            <w:rStyle w:val="1057"/>
            <w:rFonts w:ascii="SimHei" w:hAnsi="SimHei" w:eastAsia="SimHei" w:cs="SimHei"/>
            <w:color w:val="0000ee"/>
            <w:sz w:val="24"/>
            <w:u w:val="single"/>
          </w:rPr>
          <w:t xml:space="preserve">第二章 供应商须知</w:t>
          <w:tab/>
        </w:r>
      </w:hyperlink>
      <w:r/>
      <w:r/>
    </w:p>
    <w:p>
      <w:pPr>
        <w:ind w:left="240" w:right="0" w:firstLine="53"/>
        <w:spacing w:before="200" w:after="200" w:line="479" w:lineRule="atLeast"/>
        <w:tabs>
          <w:tab w:val="left" w:pos="9638" w:leader="none"/>
        </w:tabs>
        <w:pBdr>
          <w:top w:val="none" w:color="000000" w:sz="4" w:space="0"/>
          <w:left w:val="none" w:color="000000" w:sz="4" w:space="0"/>
          <w:bottom w:val="none" w:color="000000" w:sz="4" w:space="0"/>
          <w:right w:val="none" w:color="000000" w:sz="4" w:space="0"/>
        </w:pBdr>
      </w:pPr>
      <w:r/>
      <w:hyperlink r:id="rId22" w:tooltip="http://jszfcg.jsczt.cn/jszc/onlyoffice/7.2.1-34/web-apps/apps/documenteditor/main/index_loader.html?_dc=7.2.1-34&amp;lang=zh&amp;customer=%20&amp;logo=%20&amp;headerlogo=%2Ffavicon.ico&amp;frameEditorId=iframePage&amp;compact=true&amp;parentOrigin=http://jszfcg.jsczt.cn#_Toc17393" w:history="1">
        <w:r>
          <w:rPr>
            <w:rStyle w:val="1057"/>
            <w:rFonts w:ascii="SimHei" w:hAnsi="SimHei" w:eastAsia="SimHei" w:cs="SimHei"/>
            <w:color w:val="0000ee"/>
            <w:sz w:val="24"/>
            <w:u w:val="single"/>
          </w:rPr>
          <w:t xml:space="preserve">一、总</w:t>
        </w:r>
        <w:r>
          <w:rPr>
            <w:rStyle w:val="1057"/>
            <w:rFonts w:ascii="SimHei" w:hAnsi="SimHei" w:eastAsia="SimHei" w:cs="SimHei"/>
            <w:color w:val="0000ee"/>
            <w:sz w:val="24"/>
            <w:u w:val="none"/>
          </w:rPr>
          <w:t xml:space="preserve"> </w:t>
        </w:r>
        <w:r>
          <w:rPr>
            <w:rStyle w:val="1057"/>
            <w:rFonts w:ascii="SimHei" w:hAnsi="SimHei" w:eastAsia="SimHei" w:cs="SimHei"/>
            <w:color w:val="0000ee"/>
            <w:sz w:val="24"/>
            <w:u w:val="single"/>
          </w:rPr>
          <w:t xml:space="preserve">则</w:t>
          <w:tab/>
        </w:r>
      </w:hyperlink>
      <w:r/>
      <w:r/>
    </w:p>
    <w:p>
      <w:pPr>
        <w:ind w:left="240" w:right="0" w:firstLine="53"/>
        <w:spacing w:before="200" w:after="200" w:line="479" w:lineRule="atLeast"/>
        <w:tabs>
          <w:tab w:val="left" w:pos="9638" w:leader="none"/>
        </w:tabs>
        <w:pBdr>
          <w:top w:val="none" w:color="000000" w:sz="4" w:space="0"/>
          <w:left w:val="none" w:color="000000" w:sz="4" w:space="0"/>
          <w:bottom w:val="none" w:color="000000" w:sz="4" w:space="0"/>
          <w:right w:val="none" w:color="000000" w:sz="4" w:space="0"/>
        </w:pBdr>
      </w:pPr>
      <w:r/>
      <w:hyperlink r:id="rId23" w:tooltip="http://jszfcg.jsczt.cn/jszc/onlyoffice/7.2.1-34/web-apps/apps/documenteditor/main/index_loader.html?_dc=7.2.1-34&amp;lang=zh&amp;customer=%20&amp;logo=%20&amp;headerlogo=%2Ffavicon.ico&amp;frameEditorId=iframePage&amp;compact=true&amp;parentOrigin=http://jszfcg.jsczt.cn#_Toc6010" w:history="1">
        <w:r>
          <w:rPr>
            <w:rStyle w:val="1057"/>
            <w:rFonts w:ascii="SimHei" w:hAnsi="SimHei" w:eastAsia="SimHei" w:cs="SimHei"/>
            <w:color w:val="0000ee"/>
            <w:sz w:val="24"/>
            <w:u w:val="single"/>
          </w:rPr>
          <w:t xml:space="preserve">二、招标文件构成</w:t>
          <w:tab/>
        </w:r>
      </w:hyperlink>
      <w:r/>
      <w:r/>
    </w:p>
    <w:p>
      <w:pPr>
        <w:ind w:left="240" w:right="0" w:firstLine="53"/>
        <w:spacing w:before="200" w:after="200" w:line="479" w:lineRule="atLeast"/>
        <w:tabs>
          <w:tab w:val="left" w:pos="9638" w:leader="none"/>
        </w:tabs>
        <w:pBdr>
          <w:top w:val="none" w:color="000000" w:sz="4" w:space="0"/>
          <w:left w:val="none" w:color="000000" w:sz="4" w:space="0"/>
          <w:bottom w:val="none" w:color="000000" w:sz="4" w:space="0"/>
          <w:right w:val="none" w:color="000000" w:sz="4" w:space="0"/>
        </w:pBdr>
      </w:pPr>
      <w:r/>
      <w:hyperlink r:id="rId24" w:tooltip="http://jszfcg.jsczt.cn/jszc/onlyoffice/7.2.1-34/web-apps/apps/documenteditor/main/index_loader.html?_dc=7.2.1-34&amp;lang=zh&amp;customer=%20&amp;logo=%20&amp;headerlogo=%2Ffavicon.ico&amp;frameEditorId=iframePage&amp;compact=true&amp;parentOrigin=http://jszfcg.jsczt.cn#_Toc22177" w:history="1">
        <w:r>
          <w:rPr>
            <w:rStyle w:val="1057"/>
            <w:rFonts w:ascii="SimHei" w:hAnsi="SimHei" w:eastAsia="SimHei" w:cs="SimHei"/>
            <w:color w:val="0000ee"/>
            <w:sz w:val="24"/>
            <w:u w:val="single"/>
          </w:rPr>
          <w:t xml:space="preserve">三、投标文件的编制</w:t>
          <w:tab/>
        </w:r>
      </w:hyperlink>
      <w:r/>
      <w:r/>
    </w:p>
    <w:p>
      <w:pPr>
        <w:ind w:left="240" w:right="0" w:firstLine="53"/>
        <w:spacing w:before="200" w:after="200" w:line="479" w:lineRule="atLeast"/>
        <w:tabs>
          <w:tab w:val="left" w:pos="9638" w:leader="none"/>
        </w:tabs>
        <w:pBdr>
          <w:top w:val="none" w:color="000000" w:sz="4" w:space="0"/>
          <w:left w:val="none" w:color="000000" w:sz="4" w:space="0"/>
          <w:bottom w:val="none" w:color="000000" w:sz="4" w:space="0"/>
          <w:right w:val="none" w:color="000000" w:sz="4" w:space="0"/>
        </w:pBdr>
      </w:pPr>
      <w:r/>
      <w:hyperlink r:id="rId25" w:tooltip="http://jszfcg.jsczt.cn/jszc/onlyoffice/7.2.1-34/web-apps/apps/documenteditor/main/index_loader.html?_dc=7.2.1-34&amp;lang=zh&amp;customer=%20&amp;logo=%20&amp;headerlogo=%2Ffavicon.ico&amp;frameEditorId=iframePage&amp;compact=true&amp;parentOrigin=http://jszfcg.jsczt.cn#_Toc30300" w:history="1">
        <w:r>
          <w:rPr>
            <w:rStyle w:val="1057"/>
            <w:rFonts w:ascii="SimHei" w:hAnsi="SimHei" w:eastAsia="SimHei" w:cs="SimHei"/>
            <w:color w:val="0000ee"/>
            <w:sz w:val="24"/>
            <w:u w:val="single"/>
          </w:rPr>
          <w:t xml:space="preserve">四、投标文件的递交</w:t>
          <w:tab/>
        </w:r>
      </w:hyperlink>
      <w:r/>
      <w:r/>
    </w:p>
    <w:p>
      <w:pPr>
        <w:ind w:left="240" w:right="0" w:firstLine="53"/>
        <w:spacing w:before="200" w:after="200" w:line="479" w:lineRule="atLeast"/>
        <w:tabs>
          <w:tab w:val="left" w:pos="9638" w:leader="none"/>
        </w:tabs>
        <w:pBdr>
          <w:top w:val="none" w:color="000000" w:sz="4" w:space="0"/>
          <w:left w:val="none" w:color="000000" w:sz="4" w:space="0"/>
          <w:bottom w:val="none" w:color="000000" w:sz="4" w:space="0"/>
          <w:right w:val="none" w:color="000000" w:sz="4" w:space="0"/>
        </w:pBdr>
      </w:pPr>
      <w:r/>
      <w:hyperlink r:id="rId26" w:tooltip="http://jszfcg.jsczt.cn/jszc/onlyoffice/7.2.1-34/web-apps/apps/documenteditor/main/index_loader.html?_dc=7.2.1-34&amp;lang=zh&amp;customer=%20&amp;logo=%20&amp;headerlogo=%2Ffavicon.ico&amp;frameEditorId=iframePage&amp;compact=true&amp;parentOrigin=http://jszfcg.jsczt.cn#_Toc8264" w:history="1">
        <w:r>
          <w:rPr>
            <w:rStyle w:val="1057"/>
            <w:rFonts w:ascii="SimHei" w:hAnsi="SimHei" w:eastAsia="SimHei" w:cs="SimHei"/>
            <w:color w:val="0000ee"/>
            <w:sz w:val="24"/>
            <w:u w:val="single"/>
          </w:rPr>
          <w:t xml:space="preserve">五、开标、评标与定标</w:t>
          <w:tab/>
        </w:r>
      </w:hyperlink>
      <w:r/>
      <w:r/>
    </w:p>
    <w:p>
      <w:pPr>
        <w:ind w:left="240" w:right="0" w:firstLine="53"/>
        <w:spacing w:before="200" w:after="200" w:line="479" w:lineRule="atLeast"/>
        <w:tabs>
          <w:tab w:val="left" w:pos="9638" w:leader="none"/>
        </w:tabs>
        <w:pBdr>
          <w:top w:val="none" w:color="000000" w:sz="4" w:space="0"/>
          <w:left w:val="none" w:color="000000" w:sz="4" w:space="0"/>
          <w:bottom w:val="none" w:color="000000" w:sz="4" w:space="0"/>
          <w:right w:val="none" w:color="000000" w:sz="4" w:space="0"/>
        </w:pBdr>
      </w:pPr>
      <w:r/>
      <w:hyperlink r:id="rId27" w:tooltip="http://jszfcg.jsczt.cn/jszc/onlyoffice/7.2.1-34/web-apps/apps/documenteditor/main/index_loader.html?_dc=7.2.1-34&amp;lang=zh&amp;customer=%20&amp;logo=%20&amp;headerlogo=%2Ffavicon.ico&amp;frameEditorId=iframePage&amp;compact=true&amp;parentOrigin=http://jszfcg.jsczt.cn#_Toc25882" w:history="1">
        <w:r>
          <w:rPr>
            <w:rStyle w:val="1057"/>
            <w:rFonts w:ascii="SimHei" w:hAnsi="SimHei" w:eastAsia="SimHei" w:cs="SimHei"/>
            <w:color w:val="0000ee"/>
            <w:sz w:val="24"/>
            <w:u w:val="single"/>
          </w:rPr>
          <w:t xml:space="preserve">六、签订合同</w:t>
          <w:tab/>
        </w:r>
      </w:hyperlink>
      <w:r/>
      <w:r/>
    </w:p>
    <w:p>
      <w:pPr>
        <w:ind w:left="240" w:right="0" w:firstLine="53"/>
        <w:spacing w:before="200" w:after="200" w:line="479" w:lineRule="atLeast"/>
        <w:tabs>
          <w:tab w:val="left" w:pos="9638" w:leader="none"/>
        </w:tabs>
        <w:pBdr>
          <w:top w:val="none" w:color="000000" w:sz="4" w:space="0"/>
          <w:left w:val="none" w:color="000000" w:sz="4" w:space="0"/>
          <w:bottom w:val="none" w:color="000000" w:sz="4" w:space="0"/>
          <w:right w:val="none" w:color="000000" w:sz="4" w:space="0"/>
        </w:pBdr>
      </w:pPr>
      <w:r/>
      <w:hyperlink r:id="rId28" w:tooltip="http://jszfcg.jsczt.cn/jszc/onlyoffice/7.2.1-34/web-apps/apps/documenteditor/main/index_loader.html?_dc=7.2.1-34&amp;lang=zh&amp;customer=%20&amp;logo=%20&amp;headerlogo=%2Ffavicon.ico&amp;frameEditorId=iframePage&amp;compact=true&amp;parentOrigin=http://jszfcg.jsczt.cn#_Toc29975" w:history="1">
        <w:r>
          <w:rPr>
            <w:rStyle w:val="1057"/>
            <w:rFonts w:ascii="SimHei" w:hAnsi="SimHei" w:eastAsia="SimHei" w:cs="SimHei"/>
            <w:color w:val="0000ee"/>
            <w:sz w:val="24"/>
            <w:u w:val="single"/>
          </w:rPr>
          <w:t xml:space="preserve">七、质疑和投诉</w:t>
          <w:tab/>
        </w:r>
      </w:hyperlink>
      <w:r/>
      <w:r/>
    </w:p>
    <w:p>
      <w:pPr>
        <w:ind w:left="0" w:right="0" w:firstLine="0"/>
        <w:jc w:val="both"/>
        <w:spacing w:before="0" w:after="0" w:line="479" w:lineRule="atLeast"/>
        <w:tabs>
          <w:tab w:val="left" w:pos="9638" w:leader="none"/>
        </w:tabs>
        <w:pBdr>
          <w:top w:val="none" w:color="000000" w:sz="4" w:space="0"/>
          <w:left w:val="none" w:color="000000" w:sz="4" w:space="0"/>
          <w:bottom w:val="none" w:color="000000" w:sz="4" w:space="0"/>
          <w:right w:val="none" w:color="000000" w:sz="4" w:space="0"/>
        </w:pBdr>
      </w:pPr>
      <w:r/>
      <w:hyperlink r:id="rId29" w:tooltip="http://jszfcg.jsczt.cn/jszc/onlyoffice/7.2.1-34/web-apps/apps/documenteditor/main/index_loader.html?_dc=7.2.1-34&amp;lang=zh&amp;customer=%20&amp;logo=%20&amp;headerlogo=%2Ffavicon.ico&amp;frameEditorId=iframePage&amp;compact=true&amp;parentOrigin=http://jszfcg.jsczt.cn#_Toc30514" w:history="1">
        <w:r>
          <w:rPr>
            <w:rStyle w:val="1057"/>
            <w:rFonts w:ascii="SimHei" w:hAnsi="SimHei" w:eastAsia="SimHei" w:cs="SimHei"/>
            <w:color w:val="0000ee"/>
            <w:sz w:val="24"/>
            <w:u w:val="single"/>
          </w:rPr>
          <w:t xml:space="preserve">第三章</w:t>
        </w:r>
        <w:r>
          <w:rPr>
            <w:rStyle w:val="1057"/>
            <w:rFonts w:ascii="SimHei" w:hAnsi="SimHei" w:eastAsia="SimHei" w:cs="SimHei"/>
            <w:color w:val="0000ee"/>
            <w:sz w:val="24"/>
            <w:u w:val="none"/>
          </w:rPr>
          <w:t xml:space="preserve"> </w:t>
        </w:r>
        <w:r>
          <w:rPr>
            <w:rStyle w:val="1057"/>
            <w:rFonts w:ascii="SimHei" w:hAnsi="SimHei" w:eastAsia="SimHei" w:cs="SimHei"/>
            <w:color w:val="0000ee"/>
            <w:sz w:val="24"/>
            <w:u w:val="single"/>
          </w:rPr>
          <w:t xml:space="preserve">评标标准</w:t>
          <w:tab/>
        </w:r>
      </w:hyperlink>
      <w:r/>
      <w:r/>
    </w:p>
    <w:p>
      <w:pPr>
        <w:ind w:left="0" w:right="0" w:firstLine="0"/>
        <w:jc w:val="both"/>
        <w:spacing w:before="0" w:after="0" w:line="479" w:lineRule="atLeast"/>
        <w:tabs>
          <w:tab w:val="left" w:pos="9638" w:leader="none"/>
        </w:tabs>
        <w:pBdr>
          <w:top w:val="none" w:color="000000" w:sz="4" w:space="0"/>
          <w:left w:val="none" w:color="000000" w:sz="4" w:space="0"/>
          <w:bottom w:val="none" w:color="000000" w:sz="4" w:space="0"/>
          <w:right w:val="none" w:color="000000" w:sz="4" w:space="0"/>
        </w:pBdr>
      </w:pPr>
      <w:r/>
      <w:hyperlink r:id="rId30" w:tooltip="http://jszfcg.jsczt.cn/jszc/onlyoffice/7.2.1-34/web-apps/apps/documenteditor/main/index_loader.html?_dc=7.2.1-34&amp;lang=zh&amp;customer=%20&amp;logo=%20&amp;headerlogo=%2Ffavicon.ico&amp;frameEditorId=iframePage&amp;compact=true&amp;parentOrigin=http://jszfcg.jsczt.cn#_Toc12891" w:history="1">
        <w:r>
          <w:rPr>
            <w:rStyle w:val="1057"/>
            <w:rFonts w:ascii="SimHei" w:hAnsi="SimHei" w:eastAsia="SimHei" w:cs="SimHei"/>
            <w:color w:val="0000ee"/>
            <w:sz w:val="24"/>
            <w:u w:val="single"/>
          </w:rPr>
          <w:t xml:space="preserve">第四章</w:t>
        </w:r>
        <w:r>
          <w:rPr>
            <w:rStyle w:val="1057"/>
            <w:rFonts w:ascii="SimHei" w:hAnsi="SimHei" w:eastAsia="SimHei" w:cs="SimHei"/>
            <w:color w:val="0000ee"/>
            <w:sz w:val="24"/>
            <w:u w:val="none"/>
          </w:rPr>
          <w:t xml:space="preserve"> </w:t>
        </w:r>
        <w:r>
          <w:rPr>
            <w:rStyle w:val="1057"/>
            <w:rFonts w:ascii="SimHei" w:hAnsi="SimHei" w:eastAsia="SimHei" w:cs="SimHei"/>
            <w:color w:val="0000ee"/>
            <w:sz w:val="24"/>
            <w:u w:val="single"/>
          </w:rPr>
          <w:t xml:space="preserve">招标项目的技术规格、要求和数量等</w:t>
          <w:tab/>
        </w:r>
      </w:hyperlink>
      <w:r/>
      <w:r/>
    </w:p>
    <w:p>
      <w:pPr>
        <w:ind w:left="0" w:right="0" w:firstLine="0"/>
        <w:jc w:val="both"/>
        <w:spacing w:before="0" w:after="0" w:line="479" w:lineRule="atLeast"/>
        <w:tabs>
          <w:tab w:val="left" w:pos="9638" w:leader="none"/>
        </w:tabs>
        <w:pBdr>
          <w:top w:val="none" w:color="000000" w:sz="4" w:space="0"/>
          <w:left w:val="none" w:color="000000" w:sz="4" w:space="0"/>
          <w:bottom w:val="none" w:color="000000" w:sz="4" w:space="0"/>
          <w:right w:val="none" w:color="000000" w:sz="4" w:space="0"/>
        </w:pBdr>
      </w:pPr>
      <w:r/>
      <w:hyperlink r:id="rId31" w:tooltip="http://jszfcg.jsczt.cn/jszc/onlyoffice/7.2.1-34/web-apps/apps/documenteditor/main/index_loader.html?_dc=7.2.1-34&amp;lang=zh&amp;customer=%20&amp;logo=%20&amp;headerlogo=%2Ffavicon.ico&amp;frameEditorId=iframePage&amp;compact=true&amp;parentOrigin=http://jszfcg.jsczt.cn#_Toc30051" w:history="1">
        <w:r>
          <w:rPr>
            <w:rStyle w:val="1057"/>
            <w:rFonts w:ascii="SimHei" w:hAnsi="SimHei" w:eastAsia="SimHei" w:cs="SimHei"/>
            <w:color w:val="0000ee"/>
            <w:sz w:val="24"/>
            <w:u w:val="single"/>
          </w:rPr>
          <w:t xml:space="preserve">第五章</w:t>
        </w:r>
        <w:r>
          <w:rPr>
            <w:rStyle w:val="1057"/>
            <w:rFonts w:ascii="SimHei" w:hAnsi="SimHei" w:eastAsia="SimHei" w:cs="SimHei"/>
            <w:color w:val="0000ee"/>
            <w:sz w:val="24"/>
            <w:u w:val="none"/>
          </w:rPr>
          <w:t xml:space="preserve"> </w:t>
        </w:r>
        <w:r>
          <w:rPr>
            <w:rStyle w:val="1057"/>
            <w:rFonts w:ascii="SimHei" w:hAnsi="SimHei" w:eastAsia="SimHei" w:cs="SimHei"/>
            <w:color w:val="0000ee"/>
            <w:sz w:val="24"/>
            <w:u w:val="single"/>
          </w:rPr>
          <w:t xml:space="preserve">合同主要条款及格式</w:t>
          <w:tab/>
        </w:r>
      </w:hyperlink>
      <w:r/>
      <w:r/>
    </w:p>
    <w:p>
      <w:pPr>
        <w:ind w:left="0" w:right="0" w:firstLine="0"/>
        <w:jc w:val="both"/>
        <w:spacing w:before="0" w:after="0" w:line="479" w:lineRule="atLeast"/>
        <w:tabs>
          <w:tab w:val="left" w:pos="9638" w:leader="none"/>
        </w:tabs>
        <w:pBdr>
          <w:top w:val="none" w:color="000000" w:sz="4" w:space="0"/>
          <w:left w:val="none" w:color="000000" w:sz="4" w:space="0"/>
          <w:bottom w:val="none" w:color="000000" w:sz="4" w:space="0"/>
          <w:right w:val="none" w:color="000000" w:sz="4" w:space="0"/>
        </w:pBdr>
      </w:pPr>
      <w:r/>
      <w:hyperlink r:id="rId32" w:tooltip="http://jszfcg.jsczt.cn/jszc/onlyoffice/7.2.1-34/web-apps/apps/documenteditor/main/index_loader.html?_dc=7.2.1-34&amp;lang=zh&amp;customer=%20&amp;logo=%20&amp;headerlogo=%2Ffavicon.ico&amp;frameEditorId=iframePage&amp;compact=true&amp;parentOrigin=http://jszfcg.jsczt.cn#_Toc25585" w:history="1">
        <w:r>
          <w:rPr>
            <w:rStyle w:val="1057"/>
            <w:rFonts w:ascii="SimHei" w:hAnsi="SimHei" w:eastAsia="SimHei" w:cs="SimHei"/>
            <w:color w:val="0000ee"/>
            <w:sz w:val="24"/>
            <w:u w:val="single"/>
          </w:rPr>
          <w:t xml:space="preserve">第六章</w:t>
        </w:r>
        <w:r>
          <w:rPr>
            <w:rStyle w:val="1057"/>
            <w:rFonts w:ascii="SimHei" w:hAnsi="SimHei" w:eastAsia="SimHei" w:cs="SimHei"/>
            <w:color w:val="0000ee"/>
            <w:sz w:val="24"/>
            <w:u w:val="none"/>
          </w:rPr>
          <w:t xml:space="preserve"> </w:t>
        </w:r>
        <w:r>
          <w:rPr>
            <w:rStyle w:val="1057"/>
            <w:rFonts w:ascii="SimHei" w:hAnsi="SimHei" w:eastAsia="SimHei" w:cs="SimHei"/>
            <w:color w:val="0000ee"/>
            <w:sz w:val="24"/>
            <w:u w:val="single"/>
          </w:rPr>
          <w:t xml:space="preserve">附    件</w:t>
          <w:tab/>
        </w:r>
      </w:hyperlink>
      <w:r/>
      <w:r/>
    </w:p>
    <w:p>
      <w:pPr>
        <w:ind w:left="240" w:right="0" w:firstLine="53"/>
        <w:spacing w:before="200" w:after="200" w:line="479" w:lineRule="atLeast"/>
        <w:tabs>
          <w:tab w:val="left" w:pos="9638" w:leader="none"/>
        </w:tabs>
        <w:pBdr>
          <w:top w:val="none" w:color="000000" w:sz="4" w:space="0"/>
          <w:left w:val="none" w:color="000000" w:sz="4" w:space="0"/>
          <w:bottom w:val="none" w:color="000000" w:sz="4" w:space="0"/>
          <w:right w:val="none" w:color="000000" w:sz="4" w:space="0"/>
        </w:pBdr>
      </w:pPr>
      <w:r/>
      <w:hyperlink r:id="rId33" w:tooltip="http://jszfcg.jsczt.cn/jszc/onlyoffice/7.2.1-34/web-apps/apps/documenteditor/main/index_loader.html?_dc=7.2.1-34&amp;lang=zh&amp;customer=%20&amp;logo=%20&amp;headerlogo=%2Ffavicon.ico&amp;frameEditorId=iframePage&amp;compact=true&amp;parentOrigin=http://jszfcg.jsczt.cn#_Toc29125" w:history="1">
        <w:r>
          <w:rPr>
            <w:rStyle w:val="1057"/>
            <w:rFonts w:ascii="SimHei" w:hAnsi="SimHei" w:eastAsia="SimHei" w:cs="SimHei"/>
            <w:color w:val="0000ee"/>
            <w:sz w:val="24"/>
            <w:u w:val="single"/>
          </w:rPr>
          <w:t xml:space="preserve">投标文件</w:t>
          <w:tab/>
        </w:r>
      </w:hyperlink>
      <w:r/>
      <w:r/>
    </w:p>
    <w:p>
      <w:pPr>
        <w:ind w:left="1572" w:right="1933"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p>
      <w:pPr>
        <w:ind w:left="1572" w:right="1933"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p>
      <w:pPr>
        <w:ind w:left="1572" w:right="1933"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p>
      <w:pPr>
        <w:ind w:left="1572" w:right="1933"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p>
      <w:pPr>
        <w:ind w:left="1572" w:right="1933"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p>
      <w:pPr>
        <w:ind w:left="1572" w:right="1933"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p>
      <w:pPr>
        <w:ind w:left="1572" w:right="1933"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pStyle w:val="822"/>
        <w:ind w:left="0" w:right="0" w:firstLine="0"/>
        <w:jc w:val="center"/>
        <w:spacing w:before="340" w:after="330" w:line="1056"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第一章 投标邀请书（招标公告）</w:t>
      </w:r>
      <w:r/>
    </w:p>
    <w:p>
      <w:pPr>
        <w:ind w:left="0" w:right="0" w:firstLine="63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2026年鼓楼区排水设施大中修服务项目</w:t>
      </w:r>
      <w:r>
        <w:rPr>
          <w:rFonts w:ascii="SimSun" w:hAnsi="SimSun" w:eastAsia="SimSun" w:cs="SimSun"/>
          <w:color w:val="000000"/>
          <w:sz w:val="21"/>
        </w:rPr>
        <w:t xml:space="preserve">的潜在供应商应在</w:t>
      </w:r>
      <w:r>
        <w:rPr>
          <w:rFonts w:ascii="SimSun" w:hAnsi="SimSun" w:eastAsia="SimSun" w:cs="SimSun"/>
          <w:color w:val="000000"/>
          <w:sz w:val="21"/>
          <w:u w:val="single"/>
        </w:rPr>
        <w:t xml:space="preserve">江苏政府采购网</w:t>
      </w:r>
      <w:r>
        <w:rPr>
          <w:rFonts w:ascii="SimSun" w:hAnsi="SimSun" w:eastAsia="SimSun" w:cs="SimSun"/>
          <w:color w:val="000000"/>
          <w:sz w:val="21"/>
        </w:rPr>
        <w:t xml:space="preserve"> 获取招标文件，并于</w:t>
      </w:r>
      <w:r>
        <w:rPr>
          <w:rFonts w:ascii="SimSun" w:hAnsi="SimSun" w:eastAsia="SimSun" w:cs="SimSun"/>
          <w:color w:val="000000"/>
          <w:sz w:val="21"/>
          <w:u w:val="none"/>
        </w:rPr>
        <w:t xml:space="preserve">2026年</w:t>
      </w:r>
      <w:r>
        <w:rPr>
          <w:rFonts w:ascii="SimSun" w:hAnsi="SimSun" w:eastAsia="SimSun" w:cs="SimSun"/>
          <w:color w:val="000000"/>
          <w:sz w:val="21"/>
        </w:rPr>
        <w:t xml:space="preserve">6月8日14时30分（北京时间）前递交投标文件。</w:t>
      </w:r>
      <w:r/>
    </w:p>
    <w:p>
      <w:pPr>
        <w:pStyle w:val="824"/>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1"/>
          <w:u w:val="none"/>
        </w:rPr>
        <w:t xml:space="preserve">一、</w:t>
      </w:r>
      <w:r>
        <w:rPr>
          <w:rFonts w:ascii="SimSun" w:hAnsi="SimSun" w:eastAsia="SimSun" w:cs="SimSun"/>
          <w:b/>
          <w:color w:val="000000"/>
          <w:sz w:val="21"/>
        </w:rPr>
        <w:t xml:space="preserve">项目基本情况</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rPr>
          <w:rFonts w:ascii="SimSun" w:hAnsi="SimSun" w:eastAsia="SimSun" w:cs="SimSun"/>
          <w:b/>
          <w:color w:val="000000"/>
          <w:sz w:val="21"/>
        </w:rPr>
        <w:t xml:space="preserve">JSZC-320106-NJJC-G2026-0042</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rPr>
          <w:rFonts w:ascii="SimSun" w:hAnsi="SimSun" w:eastAsia="SimSun" w:cs="SimSun"/>
          <w:b/>
          <w:color w:val="000000"/>
          <w:sz w:val="21"/>
        </w:rPr>
        <w:t xml:space="preserve"> 2026年鼓楼区排水设施大中修服务项目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预算金额：143万元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最高限价（如有）：133.499056 万元，投标报价不得超过最高限价，超出最高限价的报价，将作无效投标处理。</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采购需求：</w:t>
      </w:r>
      <w:r>
        <w:rPr>
          <w:rFonts w:ascii="SimSun" w:hAnsi="SimSun" w:eastAsia="SimSun" w:cs="SimSun"/>
          <w:color w:val="000000"/>
          <w:sz w:val="21"/>
        </w:rPr>
        <w:t xml:space="preserve">对鼓楼区泵站、闸门、河道、管网、截流井及一体化泵站等及其附属设施设备故障、损坏等进行维修或更换，采购水泵等备用件，保障设施设备安全稳定运行，具体内容详见采购需求。</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合同履行期限：</w:t>
      </w:r>
      <w:r>
        <w:rPr>
          <w:rFonts w:ascii="SimSun" w:hAnsi="SimSun" w:eastAsia="SimSun" w:cs="SimSun"/>
          <w:color w:val="000000"/>
          <w:sz w:val="21"/>
        </w:rPr>
        <w:t xml:space="preserve">自合同签订起90天内完成，具体按照采购人实际响应时间为准。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本项目不接受联合体投标。</w:t>
      </w:r>
      <w:r/>
    </w:p>
    <w:p>
      <w:pPr>
        <w:pStyle w:val="824"/>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二、申请人的资格要求：</w:t>
      </w:r>
      <w:r/>
    </w:p>
    <w:p>
      <w:pPr>
        <w:ind w:left="0" w:right="0" w:firstLine="420"/>
        <w:spacing w:before="0" w:after="0" w:line="85" w:lineRule="atLeast"/>
        <w:tabs>
          <w:tab w:val="left" w:pos="562" w:leader="none"/>
          <w:tab w:val="left" w:pos="3372" w:leader="none"/>
          <w:tab w:val="left" w:pos="36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2.1</w:t>
      </w:r>
      <w:r>
        <w:rPr>
          <w:rFonts w:ascii="SimSun" w:hAnsi="SimSun" w:eastAsia="SimSun" w:cs="SimSun"/>
          <w:color w:val="000000"/>
          <w:sz w:val="21"/>
        </w:rPr>
        <w:t xml:space="preserve">满足《中华人民共和国政府采购法》第二十二条规定：</w:t>
      </w:r>
      <w:r/>
    </w:p>
    <w:p>
      <w:pPr>
        <w:ind w:left="0" w:right="0" w:firstLine="420"/>
        <w:spacing w:before="0" w:after="0" w:line="85" w:lineRule="atLeast"/>
        <w:tabs>
          <w:tab w:val="left" w:pos="562" w:leader="none"/>
          <w:tab w:val="left" w:pos="3372" w:leader="none"/>
          <w:tab w:val="left" w:pos="36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（1）具有独立承担民事责任的能力（提供法人或者其他组织的营业执照，自然人的身份证明）；</w:t>
      </w:r>
      <w:r/>
    </w:p>
    <w:p>
      <w:pPr>
        <w:ind w:left="0" w:right="0" w:firstLine="420"/>
        <w:spacing w:before="0" w:after="0" w:line="85" w:lineRule="atLeast"/>
        <w:tabs>
          <w:tab w:val="left" w:pos="562" w:leader="none"/>
          <w:tab w:val="left" w:pos="3372" w:leader="none"/>
          <w:tab w:val="left" w:pos="36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（2）具有良好的商业信誉和健全的财务会计制度；</w:t>
      </w:r>
      <w:r/>
    </w:p>
    <w:p>
      <w:pPr>
        <w:ind w:left="0" w:right="0" w:firstLine="420"/>
        <w:spacing w:before="0" w:after="0" w:line="85" w:lineRule="atLeast"/>
        <w:tabs>
          <w:tab w:val="left" w:pos="562" w:leader="none"/>
          <w:tab w:val="left" w:pos="3372" w:leader="none"/>
          <w:tab w:val="left" w:pos="36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（3）具有履行合同所必需的设备和专业技术能力（根据项目需求提供履行合同所必需的设备和专业技术能力的证明材料）；</w:t>
      </w:r>
      <w:r/>
    </w:p>
    <w:p>
      <w:pPr>
        <w:ind w:left="0" w:right="0" w:firstLine="420"/>
        <w:spacing w:before="0" w:after="0" w:line="85" w:lineRule="atLeast"/>
        <w:tabs>
          <w:tab w:val="left" w:pos="562" w:leader="none"/>
          <w:tab w:val="left" w:pos="3372" w:leader="none"/>
          <w:tab w:val="left" w:pos="36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（4）有依法缴纳税收和社会保障资金的良好记录；</w:t>
      </w:r>
      <w:r/>
    </w:p>
    <w:p>
      <w:pPr>
        <w:ind w:left="0" w:right="0" w:firstLine="420"/>
        <w:spacing w:before="0" w:after="0" w:line="85" w:lineRule="atLeast"/>
        <w:tabs>
          <w:tab w:val="left" w:pos="562" w:leader="none"/>
          <w:tab w:val="left" w:pos="3372" w:leader="none"/>
          <w:tab w:val="left" w:pos="36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（5）参加政府采购活动前三年内，在经营活动中没有重大违法记录（提供参加本次政府采购活动前3年内在经营活动中没有重大违法记录的书面声明）（格式见后附件）；</w:t>
      </w:r>
      <w:r/>
    </w:p>
    <w:p>
      <w:pPr>
        <w:ind w:left="0" w:right="0" w:firstLine="420"/>
        <w:spacing w:before="0" w:after="0" w:line="85" w:lineRule="atLeast"/>
        <w:tabs>
          <w:tab w:val="left" w:pos="562" w:leader="none"/>
          <w:tab w:val="left" w:pos="3372" w:leader="none"/>
          <w:tab w:val="left" w:pos="36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（6）法律、行政法规规定的其他条件。</w:t>
      </w:r>
      <w:r/>
    </w:p>
    <w:p>
      <w:pPr>
        <w:ind w:left="0" w:right="0" w:firstLine="422"/>
        <w:spacing w:before="0" w:after="0" w:line="85" w:lineRule="atLeast"/>
        <w:tabs>
          <w:tab w:val="left" w:pos="562" w:leader="none"/>
          <w:tab w:val="left" w:pos="3372" w:leader="none"/>
          <w:tab w:val="left" w:pos="3653"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落实政府采购政策需要满足的资格条件：本项目专门面向中小企业（或监狱企业或残疾人福利性单位）采购（供应商应为中小微企业或监狱企业或残疾人福利性单位）（须提供《中小企业声明函》或《残疾人福利性单位声明函》或属于监狱企业的证明文件，未提供视为无效投标）。</w:t>
      </w:r>
      <w:r/>
    </w:p>
    <w:p>
      <w:pPr>
        <w:ind w:left="0" w:right="0" w:firstLine="45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2.3本项目的特定资格要求：供应商具有市政公用工程施工总承包三级(含)以上资质，同时具备有效的安全生产许可证。（提供有效期内的证书加盖公章）</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2.4本项目不接受联合体投标</w:t>
      </w:r>
      <w:r>
        <w:rPr>
          <w:rFonts w:ascii="Calibri" w:hAnsi="Calibri" w:eastAsia="Calibri" w:cs="Calibri"/>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w:t>
      </w:r>
      <w:r>
        <w:rPr>
          <w:rFonts w:ascii="Calibri" w:hAnsi="Calibri" w:eastAsia="Calibri" w:cs="Calibri"/>
          <w:color w:val="000000"/>
          <w:sz w:val="21"/>
        </w:rPr>
        <w:t xml:space="preserve">拒绝下列供应商参加本次</w:t>
      </w:r>
      <w:r>
        <w:rPr>
          <w:rFonts w:ascii="SimSun" w:hAnsi="SimSun" w:eastAsia="SimSun" w:cs="SimSun"/>
          <w:color w:val="000000"/>
          <w:sz w:val="21"/>
        </w:rPr>
        <w:t xml:space="preserve">采购</w:t>
      </w:r>
      <w:r>
        <w:rPr>
          <w:rFonts w:ascii="Calibri" w:hAnsi="Calibri" w:eastAsia="Calibri" w:cs="Calibri"/>
          <w:color w:val="000000"/>
          <w:sz w:val="21"/>
        </w:rPr>
        <w:t xml:space="preserve">活动：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w:t>
      </w:r>
      <w:r>
        <w:rPr>
          <w:rFonts w:ascii="SimSun" w:hAnsi="SimSun" w:eastAsia="SimSun" w:cs="SimSun"/>
          <w:color w:val="000000"/>
          <w:sz w:val="21"/>
        </w:rPr>
        <w:t xml:space="preserve">1</w:t>
      </w:r>
      <w:r>
        <w:rPr>
          <w:rFonts w:ascii="Calibri" w:hAnsi="Calibri" w:eastAsia="Calibri" w:cs="Calibri"/>
          <w:color w:val="000000"/>
          <w:sz w:val="21"/>
        </w:rPr>
        <w:t xml:space="preserve">）供应商单位负责人为同一人或者存在直接控股、管理关系的不同供应商，不得参加同一合同项下的</w:t>
      </w:r>
      <w:r>
        <w:rPr>
          <w:rFonts w:ascii="SimSun" w:hAnsi="SimSun" w:eastAsia="SimSun" w:cs="SimSun"/>
          <w:color w:val="000000"/>
          <w:sz w:val="21"/>
        </w:rPr>
        <w:t xml:space="preserve">采购</w:t>
      </w:r>
      <w:r>
        <w:rPr>
          <w:rFonts w:ascii="Calibri" w:hAnsi="Calibri" w:eastAsia="Calibri" w:cs="Calibri"/>
          <w:color w:val="000000"/>
          <w:sz w:val="21"/>
        </w:rPr>
        <w:t xml:space="preserve">活动；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w:t>
      </w:r>
      <w:r>
        <w:rPr>
          <w:rFonts w:ascii="SimSun" w:hAnsi="SimSun" w:eastAsia="SimSun" w:cs="SimSun"/>
          <w:color w:val="000000"/>
          <w:sz w:val="21"/>
        </w:rPr>
        <w:t xml:space="preserve">2</w:t>
      </w:r>
      <w:r>
        <w:rPr>
          <w:rFonts w:ascii="Calibri" w:hAnsi="Calibri" w:eastAsia="Calibri" w:cs="Calibri"/>
          <w:color w:val="000000"/>
          <w:sz w:val="21"/>
        </w:rPr>
        <w:t xml:space="preserve">）凡为</w:t>
      </w:r>
      <w:r>
        <w:rPr>
          <w:rFonts w:ascii="SimSun" w:hAnsi="SimSun" w:eastAsia="SimSun" w:cs="SimSun"/>
          <w:color w:val="000000"/>
          <w:sz w:val="21"/>
        </w:rPr>
        <w:t xml:space="preserve">采购</w:t>
      </w:r>
      <w:r>
        <w:rPr>
          <w:rFonts w:ascii="Calibri" w:hAnsi="Calibri" w:eastAsia="Calibri" w:cs="Calibri"/>
          <w:color w:val="000000"/>
          <w:sz w:val="21"/>
        </w:rPr>
        <w:t xml:space="preserve">项目提供整体设计、规范编制或者项目管理、监理、检测等服务的供应商，不得再参加本项目的</w:t>
      </w:r>
      <w:r>
        <w:rPr>
          <w:rFonts w:ascii="SimSun" w:hAnsi="SimSun" w:eastAsia="SimSun" w:cs="SimSun"/>
          <w:color w:val="000000"/>
          <w:sz w:val="21"/>
        </w:rPr>
        <w:t xml:space="preserve">采购</w:t>
      </w:r>
      <w:r>
        <w:rPr>
          <w:rFonts w:ascii="Calibri" w:hAnsi="Calibri" w:eastAsia="Calibri" w:cs="Calibri"/>
          <w:color w:val="000000"/>
          <w:sz w:val="21"/>
        </w:rPr>
        <w:t xml:space="preserve">活动；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w:t>
      </w:r>
      <w:r>
        <w:rPr>
          <w:rFonts w:ascii="SimSun" w:hAnsi="SimSun" w:eastAsia="SimSun" w:cs="SimSun"/>
          <w:color w:val="000000"/>
          <w:sz w:val="21"/>
        </w:rPr>
        <w:t xml:space="preserve">3</w:t>
      </w:r>
      <w:r>
        <w:rPr>
          <w:rFonts w:ascii="Calibri" w:hAnsi="Calibri" w:eastAsia="Calibri" w:cs="Calibri"/>
          <w:color w:val="000000"/>
          <w:sz w:val="21"/>
        </w:rPr>
        <w:t xml:space="preserve">）</w:t>
      </w:r>
      <w:r>
        <w:rPr>
          <w:rFonts w:ascii="SimSun" w:hAnsi="SimSun" w:eastAsia="SimSun" w:cs="SimSun"/>
          <w:color w:val="000000"/>
          <w:sz w:val="21"/>
        </w:rPr>
        <w:t xml:space="preserve">拒绝列入失信被执行人、重大税收违法案件当事人名单、政府采购严重违法失信行为记录名单及《南京市政府采购供应商信用管理工作暂行办法》宁财规[2018]10号第十一条、十二条所列严重失信行为情形的供应商参加本项目的采购活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）未提供《南京市政府采购供应商信用记录表暨信用承诺书》。</w:t>
      </w:r>
      <w:r/>
    </w:p>
    <w:p>
      <w:pPr>
        <w:pStyle w:val="824"/>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三、获取招标文件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时间：自招标文件公告发布之日起5个工作日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地点：江苏政府采购网苏采云系统</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方式：本项目采用网上注册登记方式。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售价:0.00元。</w:t>
      </w:r>
      <w:r/>
    </w:p>
    <w:p>
      <w:pPr>
        <w:pStyle w:val="824"/>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四、提交投标文件</w:t>
      </w:r>
      <w:r>
        <w:rPr>
          <w:rFonts w:ascii="SimSun" w:hAnsi="SimSun" w:eastAsia="SimSun" w:cs="SimSun"/>
          <w:b/>
          <w:color w:val="000000"/>
          <w:sz w:val="21"/>
        </w:rPr>
        <w:t xml:space="preserve">截止时间、开标时间和地点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2026年6月8日14时30分（北京时间）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地点：</w:t>
      </w:r>
      <w:r>
        <w:rPr>
          <w:rFonts w:ascii="SimSun" w:hAnsi="SimSun" w:eastAsia="SimSun" w:cs="SimSun"/>
          <w:b/>
          <w:color w:val="000000"/>
          <w:sz w:val="21"/>
        </w:rPr>
        <w:t xml:space="preserve">“苏采云”政府采购交易系统网上开标大厅</w:t>
      </w:r>
      <w:r/>
    </w:p>
    <w:p>
      <w:pPr>
        <w:pStyle w:val="824"/>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五、公告期限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自本公告发布之日起5个工作日。</w:t>
      </w:r>
      <w:r/>
    </w:p>
    <w:p>
      <w:pPr>
        <w:pStyle w:val="824"/>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六、其他补充事宜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集中现场考察或答疑：采购人不统一组织现场答疑，各潜在供应商必须在获取采购文件后自行踏勘现场，并承担相关费用和责任。请潜在供应商务必对采购文件进行仔细认真阅读，在随后的采购中，对采购文件所作出的推论、解释和结论及由此造成的后果由各潜在供应商负责。</w:t>
      </w:r>
      <w:r/>
    </w:p>
    <w:p>
      <w:pPr>
        <w:ind w:left="0" w:right="0" w:firstLine="210"/>
        <w:spacing w:before="0" w:after="0" w:line="85" w:lineRule="atLeast"/>
        <w:tabs>
          <w:tab w:val="left" w:pos="562" w:leader="none"/>
          <w:tab w:val="left" w:pos="3372" w:leader="none"/>
          <w:tab w:val="left" w:pos="36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6.2潜在供应商访问政府采购管理交易系统（苏采云）的网络地址和方法：</w:t>
      </w:r>
      <w:r/>
    </w:p>
    <w:p>
      <w:pPr>
        <w:ind w:left="0" w:right="0" w:firstLine="210"/>
        <w:spacing w:before="0" w:after="0" w:line="85" w:lineRule="atLeast"/>
        <w:tabs>
          <w:tab w:val="left" w:pos="562" w:leader="none"/>
          <w:tab w:val="left" w:pos="3372" w:leader="none"/>
          <w:tab w:val="left" w:pos="36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left="0" w:right="0" w:firstLine="210"/>
        <w:spacing w:before="0" w:after="0" w:line="85" w:lineRule="atLeast"/>
        <w:tabs>
          <w:tab w:val="left" w:pos="562" w:leader="none"/>
          <w:tab w:val="left" w:pos="3372" w:leader="none"/>
          <w:tab w:val="left" w:pos="36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（2）“CA数字证书”的获取：供应商需办理CA锁，“苏采云”系统目前仅支持“苏采云”系统下的政务CA，省内各地区办理的“苏采云”系统下的政务CA全省通用。</w:t>
      </w:r>
      <w:r/>
    </w:p>
    <w:p>
      <w:pPr>
        <w:ind w:left="0" w:right="0" w:firstLine="210"/>
        <w:spacing w:before="0" w:after="0" w:line="85" w:lineRule="atLeast"/>
        <w:tabs>
          <w:tab w:val="left" w:pos="562" w:leader="none"/>
          <w:tab w:val="left" w:pos="3372" w:leader="none"/>
          <w:tab w:val="left" w:pos="36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（3）“CA数字证书”的办理材料以及供应商操作手册详见：http://jsxcmm.com/help/gys.html。</w:t>
      </w:r>
      <w:r/>
    </w:p>
    <w:p>
      <w:pPr>
        <w:ind w:left="0" w:right="0" w:firstLine="210"/>
        <w:spacing w:before="0" w:after="0" w:line="85" w:lineRule="atLeast"/>
        <w:tabs>
          <w:tab w:val="left" w:pos="562" w:leader="none"/>
          <w:tab w:val="left" w:pos="3372" w:leader="none"/>
          <w:tab w:val="left" w:pos="36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（4）潜在供应商访问“苏采云”系统的网络地址和方法：“苏采云”系统的网址：http://jszfcg.jsczt.cn/jszc/login。</w:t>
      </w:r>
      <w:r/>
    </w:p>
    <w:p>
      <w:pPr>
        <w:ind w:left="0" w:right="0" w:firstLine="210"/>
        <w:spacing w:before="0" w:after="0" w:line="85" w:lineRule="atLeast"/>
        <w:tabs>
          <w:tab w:val="left" w:pos="562" w:leader="none"/>
          <w:tab w:val="left" w:pos="3372" w:leader="none"/>
          <w:tab w:val="left" w:pos="36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（5）采购文件（后缀名为“.kedt”）、供应商操作手册及政府采购客户端工具也可通过“苏采云”系统--已报名项目--报名详情页面内相应链接进行下载。</w:t>
      </w:r>
      <w:r/>
    </w:p>
    <w:p>
      <w:pPr>
        <w:ind w:left="0" w:right="0" w:firstLine="210"/>
        <w:spacing w:before="0" w:after="0" w:line="85" w:lineRule="atLeast"/>
        <w:tabs>
          <w:tab w:val="left" w:pos="562" w:leader="none"/>
          <w:tab w:val="left" w:pos="3372" w:leader="none"/>
          <w:tab w:val="left" w:pos="36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（6）招标代理机构（采购代理机构）将数据电文形式的采购文件加载至“苏采云”系统，供潜在供应商下载或者查阅。    </w:t>
      </w:r>
      <w:r/>
    </w:p>
    <w:p>
      <w:pPr>
        <w:ind w:left="0" w:right="0" w:firstLine="210"/>
        <w:spacing w:before="0" w:after="0" w:line="85" w:lineRule="atLeast"/>
        <w:tabs>
          <w:tab w:val="left" w:pos="562" w:leader="none"/>
          <w:tab w:val="left" w:pos="3372" w:leader="none"/>
          <w:tab w:val="left" w:pos="36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（7）苏采云系统使用谷歌浏览器参与不见面开标。</w:t>
      </w:r>
      <w:r/>
    </w:p>
    <w:p>
      <w:pPr>
        <w:ind w:left="0" w:right="0" w:firstLine="210"/>
        <w:spacing w:before="0" w:after="0" w:line="85" w:lineRule="atLeast"/>
        <w:tabs>
          <w:tab w:val="left" w:pos="562" w:leader="none"/>
          <w:tab w:val="left" w:pos="3372" w:leader="none"/>
          <w:tab w:val="left" w:pos="36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6.3、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Times New Roman" w:hAnsi="Times New Roman" w:eastAsia="Times New Roman" w:cs="Times New Roman"/>
          <w:color w:val="000000"/>
          <w:sz w:val="21"/>
        </w:rPr>
        <w:t xml:space="preserve">6.4</w:t>
      </w:r>
      <w:r>
        <w:rPr>
          <w:rFonts w:ascii="SimSun" w:hAnsi="SimSun" w:eastAsia="SimSun" w:cs="SimSun"/>
          <w:color w:val="000000"/>
          <w:sz w:val="21"/>
        </w:rPr>
        <w:t xml:space="preserve">、政府采购信用承诺：“根据《关于在政府采购活动中推行信用承诺制的通知》宁财购通〔</w:t>
      </w:r>
      <w:r>
        <w:rPr>
          <w:rFonts w:ascii="Times New Roman" w:hAnsi="Times New Roman" w:eastAsia="Times New Roman" w:cs="Times New Roman"/>
          <w:color w:val="000000"/>
          <w:sz w:val="21"/>
        </w:rPr>
        <w:t xml:space="preserve">2021</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号规定， 参加南京地区政府采购活动的供应商，应以书面形式向采购人或政府采购代理机构作出信用承诺。信用承诺以《南京市政府采购供应商信用记录表暨信用承诺书》体现。供应商应尽早做好承诺书工作，点击‘南京公共采购信息网’首页（</w:t>
      </w:r>
      <w:hyperlink r:id="rId34" w:tooltip="https://njgc.jfh.com/%EF%BC%89'%E5%8D%97%E4%BA%AC%E5%B8%82%E6%94%BF%E5%BA%9C%E9%87%87%E8%B4%AD%E4%BE%9B%E5%BA%94%E5%95%86%E8%AF%9A%E4%BF%A1%E6%A1%A3%E6%A1%88'%E7%B3%BB%E7%BB%9F%E9%93%BE" w:history="1">
        <w:r>
          <w:rPr>
            <w:rStyle w:val="1057"/>
            <w:rFonts w:ascii="Times New Roman" w:hAnsi="Times New Roman" w:eastAsia="Times New Roman" w:cs="Times New Roman"/>
            <w:color w:val="0000ee"/>
            <w:sz w:val="21"/>
            <w:u w:val="single"/>
          </w:rPr>
          <w:t xml:space="preserve">https://njgc.jfh.com/</w:t>
        </w:r>
        <w:r>
          <w:rPr>
            <w:rStyle w:val="1057"/>
            <w:rFonts w:ascii="SimSun" w:hAnsi="SimSun" w:eastAsia="SimSun" w:cs="SimSun"/>
            <w:color w:val="0000ee"/>
            <w:sz w:val="21"/>
            <w:u w:val="single"/>
          </w:rPr>
          <w:t xml:space="preserve">）‘南京市政府采购供应商诚信档案’系统链</w:t>
        </w:r>
      </w:hyperlink>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接打开系统页面</w:t>
      </w:r>
      <w:r>
        <w:rPr>
          <w:rFonts w:ascii="SimSun" w:hAnsi="SimSun" w:eastAsia="SimSun" w:cs="SimSun"/>
          <w:color w:val="000000"/>
          <w:sz w:val="18"/>
        </w:rPr>
        <w:t xml:space="preserve">（</w:t>
      </w:r>
      <w:r>
        <w:rPr>
          <w:rFonts w:ascii="Times New Roman" w:hAnsi="Times New Roman" w:eastAsia="Times New Roman" w:cs="Times New Roman"/>
          <w:color w:val="000000"/>
          <w:sz w:val="18"/>
        </w:rPr>
        <w:t xml:space="preserve">http://180.101.238.212:8280/hodeframe2018_cxda/index.action;jsessionid=769BA9C8E1729422E7173B991C8EC1E5</w:t>
      </w:r>
      <w:r>
        <w:rPr>
          <w:rFonts w:ascii="SimSun" w:hAnsi="SimSun" w:eastAsia="SimSun" w:cs="SimSun"/>
          <w:color w:val="000000"/>
          <w:sz w:val="21"/>
        </w:rPr>
        <w:t xml:space="preserve">）登录（未注册的供应商应先点击‘供应商注册点这里’并按要求完成注册），然后在“信用记录”模块页面点击“信用记录打印”下载本单位信用记录表，由法人签字并盖单位公章，</w:t>
      </w:r>
      <w:r>
        <w:rPr>
          <w:rFonts w:ascii="SimSun" w:hAnsi="SimSun" w:eastAsia="SimSun" w:cs="SimSun"/>
          <w:b/>
          <w:color w:val="000000"/>
          <w:sz w:val="21"/>
        </w:rPr>
        <w:t xml:space="preserve">上传至电子响应文件中，未按要求提供信用记录表的或者未按照要求签字盖章，将按无效投标处理</w:t>
      </w:r>
      <w:r>
        <w:rPr>
          <w:rFonts w:ascii="SimSun" w:hAnsi="SimSun" w:eastAsia="SimSun" w:cs="SimSun"/>
          <w:color w:val="000000"/>
          <w:sz w:val="21"/>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在政府采购资格审查环节，供应商只需提供书面《南京市政府采购供应商信用记录表暨信用承诺书》，即可替代以下证明材料：</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）符合国家相关规定的财务状况报告；</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）依法缴纳税收的证明材料；</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）依法缴纳社会保障资金的证明材料；</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）具备履行政府采购合同所必需的设备和专业技术能力的证明材料；</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）参加政府采购活动前三年内在经营活动中没有重大违法记录的证明材料；</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）未被列入失信被执行人、重大税收违法失信主体、政府采购严重违法失信行为记录名单的证明材料。</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在中标（成交）后，应将上述由信用承诺书替代的证明材料（一式伍份），加盖电子公章按采购文件要求胶装提交采购人或采购代理机构核验。经核验无误后，由采购人或采购代理机构发出中标（成交）通知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供应商涉及以下情形的，不适用信用承诺，仍须提供上述证明材料：</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）供应商被列入严重失信主体名单；</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）被相关监管部门作出行政处罚且尚在处罚有效期内；</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）其他法律、行政法规规定的不适用信用承诺的情形。</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供应商对信用承诺内容的真实性、合法性、有效性负责。如作出虚假信用承诺，视同为“提供虚假材料谋取中标、成交”的违法行为。 </w:t>
      </w:r>
      <w:r/>
    </w:p>
    <w:p>
      <w:pPr>
        <w:pStyle w:val="824"/>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七、对本次招标提出询问，请按以下方式联系。</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1.采购人信息</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名称：南京市鼓楼区水务设施综合养护中心</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地址：南京市鼓楼区山西路84号</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 郁科</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联系方式：025-</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83235612</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2.采购代理机构信息</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名称：南京江城工程项目管理有限公司　</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　　址：南京市建邺区云龙山路89号龙湖天街1栋29楼　</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联系人：曹雪</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联系电话：025-58066836</w:t>
      </w:r>
      <w:r/>
    </w:p>
    <w:p>
      <w:pPr>
        <w:ind w:left="0" w:right="0" w:firstLine="422"/>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4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none"/>
        </w:rPr>
        <w:t xml:space="preserve">第二章</w:t>
      </w:r>
      <w:r>
        <w:rPr>
          <w:rFonts w:ascii="Times New Roman" w:hAnsi="Times New Roman" w:eastAsia="Times New Roman" w:cs="Times New Roman"/>
          <w:b/>
          <w:color w:val="000000"/>
          <w:sz w:val="36"/>
          <w:u w:val="none"/>
        </w:rPr>
        <w:t xml:space="preserve"> </w:t>
      </w:r>
      <w:r>
        <w:rPr>
          <w:rFonts w:ascii="SimSun" w:hAnsi="SimSun" w:eastAsia="SimSun" w:cs="SimSun"/>
          <w:b/>
          <w:color w:val="000000"/>
          <w:sz w:val="36"/>
          <w:u w:val="none"/>
        </w:rPr>
        <w:t xml:space="preserve">供应商须知</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一、总 则</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1、适用法律</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2、定义</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2.1“采购人”是指依法进行政府采购的国家机关、事业单位、团体组织。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2.2“投标人（供应商）”是指参加投标竞争，并符合招标文件规定资格条件的法人、其他组织或者自然人。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2.3“采购代理机构”是指集中采购机构和集中采购机构以外的采购代理机构，集中采购机构以外的采购代理机构，是从事采购代理业务的社会中介机构。</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2.4“货物和服务”指本招标文件中所述产品及相关服务。</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2.5“用户或使用单位”是指使用货物，接受服务的单位。</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3、政策功能（本项目专门面向不执行）</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2017〕213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3.5强制采购信息安全产品。参加政府采购活动的信息安全产品投标人应当选择经国家认证的信息安全产品投标，并提供由国家信息安全认证中心按国家标准认证颁发的有效认证证书。</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3.6进口产品政策</w:t>
      </w:r>
      <w:r>
        <w:rPr>
          <w:rFonts w:ascii="SimSun" w:hAnsi="SimSun" w:eastAsia="SimSun" w:cs="SimSun"/>
          <w:b/>
          <w:color w:val="000000"/>
          <w:sz w:val="21"/>
        </w:rPr>
        <w:t xml:space="preserve">（本项目不适用）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（1）除招标公告载明接受进口产品参加外，不允许进口产品参加。进口产品认定依照《财政部关于政府采购进口产品管理有关问题的通知》（财办库〔2008〕248号）的规定。</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（2）允许进口产品参加的，满足需求的国内产品可以参加。</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（3）允许进口产品参加的，优先采购向我国企业转让技术、与我国企业签订消化吸收再创新方案的投标人的进口产品。</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3.7未按要求提供相关材料的，不享受相关政策。</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二、招标文件构成</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4、招标文件组成</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招标文件包括以下主要内容：</w:t>
      </w:r>
      <w:r/>
    </w:p>
    <w:p>
      <w:pPr>
        <w:numPr>
          <w:ilvl w:val="0"/>
          <w:numId w:val="6"/>
        </w:numPr>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招标公告；</w:t>
      </w:r>
      <w:r/>
    </w:p>
    <w:p>
      <w:pPr>
        <w:numPr>
          <w:ilvl w:val="0"/>
          <w:numId w:val="6"/>
        </w:numPr>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供应商须知；</w:t>
      </w:r>
      <w:r/>
    </w:p>
    <w:p>
      <w:pPr>
        <w:numPr>
          <w:ilvl w:val="0"/>
          <w:numId w:val="6"/>
        </w:numPr>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评标标准；</w:t>
      </w:r>
      <w:r/>
    </w:p>
    <w:p>
      <w:pPr>
        <w:numPr>
          <w:ilvl w:val="0"/>
          <w:numId w:val="6"/>
        </w:numPr>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采购需求；</w:t>
      </w:r>
      <w:r/>
    </w:p>
    <w:p>
      <w:pPr>
        <w:numPr>
          <w:ilvl w:val="0"/>
          <w:numId w:val="6"/>
        </w:numPr>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合同主要条款及格式；</w:t>
      </w:r>
      <w:r/>
    </w:p>
    <w:p>
      <w:pPr>
        <w:numPr>
          <w:ilvl w:val="0"/>
          <w:numId w:val="6"/>
        </w:numPr>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投标文件格式及附件。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如标书制作工具中格式和内容与“江苏政府采购网”发布的招标文件不一致的，以上述网站发布的招标文件为准。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 招标的最小单位是标段。招标货物数量及技术要求中未分标段的，投标人对要求提供的货物和服务不得部分投标；招标货物数量及技术要求中已经分标段的，可以以标段为单位投标。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 采购代理机构如果要求投标人按照招标文件规定提交备选投标方案的，投标人可以提交备选方案；否则，备选方案将被拒绝。</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4.4招标文件中要求的产品品牌或型号，是采购人根据项目所要实现的功能推荐的品牌或型号，仅供投标人参考，并不是限制条件。</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5、招标文件的澄清或者修改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采购人或者采购代理机构可以对已发出的招标文件进行必要的澄清或者修改，但不得改变采购标的和资格条件。澄清或者修改应当在原公告发布媒体上发布澄清公告。澄清或者修改的内容为招标文件的组成部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5.3 投标人应在提交投标文件截止时间前，关注原公告媒体有关本项目的更正公告，根据更正公告内容自行决定是否需要重新制作和提交投标文件，并承担由此产生的相应责任。</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三、投标文件的编制</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6、投标文件的语言、计量单位、货币和编制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6.2投标人所使用的计量单位应为国家法定计量单位。</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6.3投标人应用人民币报价。投标产品如果是进口产品的，应提供人民币与</w:t>
      </w:r>
      <w:r>
        <w:rPr>
          <w:rFonts w:ascii="SimSun" w:hAnsi="SimSun" w:eastAsia="SimSun" w:cs="SimSun"/>
          <w:b/>
          <w:color w:val="000000"/>
          <w:sz w:val="21"/>
        </w:rPr>
        <w:t xml:space="preserve">外币之间的汇率。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6.4 投标文件应按照招标文件的规定编写并制作目录。</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6.5投标人应在投标文件中写清相应的项目编号、项目名称、投标人全称、地址、电话、传真等。</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6.6投标人根据招标文件载明的标的采购项目实际情况，拟在中标后将中标项目的非主体、非关键性工作交由他人完成的，应当在投标文件中载明。</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7、联合体投标（本项目无）</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 两个以上的自然人、法人或者其他组织可以组成一个联合体，以一个投标人的身份共同参加政府采购。</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 联合体中有同类资质的投标人按照联合体分工承担相同工作的，按照资质等级较低的投标人确定资质等级。</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 联合体各方之间应当签订联合体协议，明确约定联合体各方承担的工作和相应的责任，并将联合体协议连同投标文件一同提交。</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7.4 以联合体形式参加政府采购活动的，联合体各方不得再单独参加或者与其他投标人另外组成联合体参加同一合同项下的政府采购活动。</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8、投标文件的组成</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8.1投标人编写的投标文件应包括资格证明文件、符合性证明文件、投标分项报价表、响应及偏离表、其他证明文件、投标函、开标一览表等部分</w:t>
      </w:r>
      <w:r>
        <w:rPr>
          <w:rFonts w:ascii="SimSun" w:hAnsi="SimSun" w:eastAsia="SimSun" w:cs="SimSun"/>
          <w:b/>
          <w:color w:val="000000"/>
          <w:sz w:val="21"/>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8.2 如标书制作工具中格式和内容与“江苏政府采购网”发布的招标文件不一致，以“江苏政府采购网”发布的招标文件为准。</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9、投标文件的商务内容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9.1商务部分内容是证明投标人有资格参加投标和中标后有能力履行合同的文件，这些文件应能满足招标的要求，包括但不限于下列文件（</w:t>
      </w:r>
      <w:r>
        <w:rPr>
          <w:rFonts w:ascii="SimSun" w:hAnsi="SimSun" w:eastAsia="SimSun" w:cs="SimSun"/>
          <w:b/>
          <w:color w:val="000000"/>
          <w:sz w:val="21"/>
        </w:rPr>
        <w:t xml:space="preserve">“★”所述材料不得有缺失或提供不全或不满足招标文件的实质性要求</w:t>
      </w:r>
      <w:r>
        <w:rPr>
          <w:rFonts w:ascii="SimSun" w:hAnsi="SimSun" w:eastAsia="SimSun" w:cs="SimSun"/>
          <w:color w:val="000000"/>
          <w:sz w:val="21"/>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b/>
          <w:color w:val="000000"/>
          <w:sz w:val="21"/>
        </w:rPr>
        <w:t xml:space="preserve">★</w:t>
      </w:r>
      <w:r>
        <w:rPr>
          <w:rFonts w:ascii="SimSun" w:hAnsi="SimSun" w:eastAsia="SimSun" w:cs="SimSun"/>
          <w:color w:val="000000"/>
          <w:sz w:val="21"/>
        </w:rPr>
        <w:t xml:space="preserve">投标函（投标申请及声明） ；</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SimSun" w:hAnsi="SimSun" w:eastAsia="SimSun" w:cs="SimSun"/>
          <w:b/>
          <w:color w:val="000000"/>
          <w:sz w:val="21"/>
        </w:rPr>
        <w:t xml:space="preserve">★</w:t>
      </w:r>
      <w:r>
        <w:rPr>
          <w:rFonts w:ascii="SimSun" w:hAnsi="SimSun" w:eastAsia="SimSun" w:cs="SimSun"/>
          <w:color w:val="000000"/>
          <w:sz w:val="21"/>
        </w:rPr>
        <w:t xml:space="preserve">法人授权书</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rPr>
          <w:rFonts w:ascii="SimSun" w:hAnsi="SimSun" w:eastAsia="SimSun" w:cs="SimSun"/>
          <w:b/>
          <w:color w:val="000000"/>
          <w:sz w:val="21"/>
        </w:rPr>
        <w:t xml:space="preserve">★</w:t>
      </w:r>
      <w:r>
        <w:rPr>
          <w:rFonts w:ascii="SimSun" w:hAnsi="SimSun" w:eastAsia="SimSun" w:cs="SimSun"/>
          <w:color w:val="000000"/>
          <w:sz w:val="21"/>
        </w:rPr>
        <w:t xml:space="preserve">投标人资格证明文件：</w:t>
      </w:r>
      <w:r/>
    </w:p>
    <w:p>
      <w:pPr>
        <w:numPr>
          <w:ilvl w:val="1"/>
          <w:numId w:val="7"/>
        </w:numPr>
        <w:jc w:val="both"/>
        <w:spacing w:before="0" w:after="0" w:line="85" w:lineRule="atLeast"/>
        <w:tabs>
          <w:tab w:val="left" w:pos="840" w:leader="none"/>
          <w:tab w:val="left" w:pos="99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第一章招标公告中 2.1《中华人民共和国政府采购法》规定的资格条件证明文件；</w:t>
      </w:r>
      <w:r/>
    </w:p>
    <w:p>
      <w:pPr>
        <w:numPr>
          <w:ilvl w:val="1"/>
          <w:numId w:val="7"/>
        </w:numPr>
        <w:jc w:val="both"/>
        <w:spacing w:before="0" w:after="0" w:line="85" w:lineRule="atLeast"/>
        <w:tabs>
          <w:tab w:val="left" w:pos="840" w:leader="none"/>
          <w:tab w:val="left" w:pos="99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第一章招标公告中 2.2</w:t>
      </w:r>
      <w:r>
        <w:rPr>
          <w:rFonts w:ascii="SimSun" w:hAnsi="SimSun" w:eastAsia="SimSun" w:cs="SimSun"/>
          <w:color w:val="000000"/>
          <w:spacing w:val="8"/>
          <w:sz w:val="21"/>
        </w:rPr>
        <w:t xml:space="preserve">落实政府采购政策需满足的资格要求；</w:t>
      </w:r>
      <w:r/>
    </w:p>
    <w:p>
      <w:pPr>
        <w:numPr>
          <w:ilvl w:val="1"/>
          <w:numId w:val="7"/>
        </w:numPr>
        <w:jc w:val="both"/>
        <w:spacing w:before="0" w:after="0" w:line="85" w:lineRule="atLeast"/>
        <w:tabs>
          <w:tab w:val="left" w:pos="840" w:leader="none"/>
          <w:tab w:val="left" w:pos="99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第一章招标公告中 2.3 采购人根据采购项目的特殊要求规定的特定条件证明文件。（如有）</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（4）开标一览表及附表 ；</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rPr>
          <w:rFonts w:ascii="SimSun" w:hAnsi="SimSun" w:eastAsia="SimSun" w:cs="SimSun"/>
          <w:b/>
          <w:color w:val="000000"/>
          <w:sz w:val="21"/>
        </w:rPr>
        <w:t xml:space="preserve">★</w:t>
      </w:r>
      <w:r>
        <w:rPr>
          <w:rFonts w:ascii="SimSun" w:hAnsi="SimSun" w:eastAsia="SimSun" w:cs="SimSun"/>
          <w:color w:val="000000"/>
          <w:sz w:val="21"/>
        </w:rPr>
        <w:t xml:space="preserve">《南京市政府采购供应商信用记录表暨信用承诺书》</w:t>
      </w:r>
      <w:r>
        <w:rPr>
          <w:rFonts w:ascii="SimSun" w:hAnsi="SimSun" w:eastAsia="SimSun" w:cs="SimSun"/>
          <w:b/>
          <w:color w:val="000000"/>
          <w:sz w:val="21"/>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（6）《商务条款偏离表》；</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（7）评标标准中对应的所需证明材料（如有自行添加）；</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（8）其他（投标人认为有必要提供的声明和文件，如有，自行拟定并添加）。</w:t>
      </w:r>
      <w:r/>
    </w:p>
    <w:p>
      <w:pPr>
        <w:ind w:left="0" w:right="0" w:firstLine="42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10、投标文件的技术内容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部分内容是证明投标人提供的货物和服务是合格的、并符合招标文件要求的证明文件，以及对货物和服务的详细说明，这些文件可以是文字资料、图纸、数据或其他证明文件等。提供的货物和服务如与招标文件要求有不符之处，应说明其差别之所在。包括但不限于下列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（1）技术说明或项目服务方案；</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（2）服务承诺；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（3）投标人认为需要提供的其他技术资料。</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11、投标文件的价格内容</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11.1价格部分内容是对采购标的价格构成的说明，招标文件如无特别说明，每一项货物及服务仅接受一个价格。</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报价应包含为履行本项目合同项下所有义务的全部含税费用（包括但不限于货物设计、制造、包装、仓储、运输装缷、保险、安装、调试及其材料及验收合格之前保管及保修期内备品备件、专用工具、伴随服务、技术图纸资料、人员培训发生的所有含税费用、支付给员工的工资和国家强制缴纳的各种社会保障资金），以及投标人认为需要的其他费用等</w:t>
      </w:r>
      <w:r>
        <w:rPr>
          <w:rFonts w:ascii="SimSun" w:hAnsi="SimSun" w:eastAsia="SimSun" w:cs="SimSun"/>
          <w:b/>
          <w:color w:val="000000"/>
          <w:sz w:val="21"/>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11.3投标人的任何错漏、优惠、竞争性报价不得作为减轻责任、减少服务、增加收费、降低质量的理由。</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12、投标文件的其他部分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12.1 其他部分由投标人根据编制投标文件需要提供的其他相关文件组成。</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13、投标保证金（本项目无需缴纳投标保证金）</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14、投标有效期</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 自开标之日起</w:t>
      </w:r>
      <w:r>
        <w:rPr>
          <w:rFonts w:ascii="SimSun" w:hAnsi="SimSun" w:eastAsia="SimSun" w:cs="SimSun"/>
          <w:b/>
          <w:color w:val="000000"/>
          <w:sz w:val="21"/>
        </w:rPr>
        <w:t xml:space="preserve">90</w:t>
      </w:r>
      <w:r>
        <w:rPr>
          <w:rFonts w:ascii="SimSun" w:hAnsi="SimSun" w:eastAsia="SimSun" w:cs="SimSun"/>
          <w:color w:val="000000"/>
          <w:sz w:val="21"/>
        </w:rPr>
        <w:t xml:space="preserve">天内投标有效</w:t>
      </w:r>
      <w:r>
        <w:rPr>
          <w:rFonts w:ascii="SimSun" w:hAnsi="SimSun" w:eastAsia="SimSun" w:cs="SimSun"/>
          <w:b/>
          <w:color w:val="000000"/>
          <w:sz w:val="21"/>
        </w:rPr>
        <w:t xml:space="preserve">，投标有效期从提交投标文件的截止之日起算。投标文件中承诺的投标有效期应当不少于招标文件中载明的投标有效期。</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 在特殊情况下，于原投标有效期满之前，可向投标人提出延长投标有效期的要求。这种要求与答复均应采用书面形式。投标人可以拒绝这一要求而放弃投标。同意延长投标有效期的投标人既不能要求也不允许修改其投标文件，同时受投标有效期约束的所有权利与义务均延长至新的有效期满。</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15、投标文件签署</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15.1 投标文件应按照招标文件要求加盖电子公章，否则视为无效投标。</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16、投标费用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 投标人应承担所有与准备和参加投标有关的费用，无论招标结果如何，采购代理机构和采购人在任何情况下均无义务和责任承担这些费用。</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16.2 招标代理服务费：按照苏招办[2022]002号文文件所列收费标准的45%收取，以中标价为计算基准价，清单编制费按照苏价服【2014】383号文收费标准的45%收取，该项费用请供应商综合考虑在投标报价中，须在领取中标通知书前向招标代理机构支付招标代理服务费。</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四、投标文件的递交</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17、投标文件的递交</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17.1 投标人应当按照《操作手册》规定，在招标公告规定的投标截止时间前制作并上传电子投标文件。招标代理机构拒绝接收提交投标文件截止时间后上传的任何电子投标文件。</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18、投标文件的解密</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18.1 投标人应当按照《操作手册》规定，在“苏采云”系统规定的时间内对投标文件进行解密，投标人应充分考虑网络环境、网络带宽等因素可能对投标产生的影响，如因投标人自身原因造成的电子投标文件上传不成功的，按做无效投标处理。</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18.3 招标人可以按照规定，通过修改招标文件酌情延长投标截止时间，在此情况下，投标人的所有权利和义务均以延长后新的截止时间为准。</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19、投标文件的修改和撤回</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19.1 投标文件的撤回</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19.1.1投标人可在投标截止时间前撤回其电子投标文件，具体操作方法见《操作手册》。</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19.1.2投标人撤回电子投标文件，则认为其不再参与本项目投标活动。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19.2 投标文件的修改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19.2.1投标人可在投标截止时间前对其电子投标文件进行修改，具体操作方法见《操作手册》。</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19.2.2投标截止时间之后，投标人不得对其电子投标文件作任何修改。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19.2.3 在投标截止时间至招标文件中规定的投标有效期满之间的这段时间内，投标人不得撤回其投标。</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20、诚实信用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20.1投标人应当遵循公平竞争的原则，不得恶意串通，不得妨碍其他投标人的竞争行为，不得损害采购人或者其他投标人的合法权益。</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20.2在评标过程中发现投标人有上述情形的，评标委员会应当认定其投标无效，并书面报告本级财政部门。</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五、开标、评标与定标</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21、开标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21.1 招标人在招标公告中规定的时间和地点组织公开开标。投标人按照《操作手册》规定参加开标活动，并在苏采云系统规定的时间内对投标文件进行解密。苏采云系统公布各投标人名称和投标价格。</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21.2 投标人在开标过程中涉及到的投标文件解密、开标结果确认等工作，应按照《操作手册》规定执行。</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21.3投标人不足3家的，不得开标。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21.4 投标人如果对开标过程和开标结果有疑义，应当根据《操作手册》规定提出，“苏采云”系统中《开标记录表》公布后5分钟内未提出的，视同认可开标结果。</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22、评标</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22.1 评标委员会</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22.1 评标由组织评标委员会（以下简称“评委会”）进行。</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22.2 评委会由有关技术、经济等方面的专家组成，且人员构成符合政府采购有关规定。</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22.3 评委会独立工作，负责评审所有投标文件并推荐中标候选人，或根据采购人授权直接确定中标人。</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22.1.1</w:t>
      </w:r>
      <w:r>
        <w:rPr>
          <w:rFonts w:ascii="SimSun" w:hAnsi="SimSun" w:eastAsia="SimSun" w:cs="SimSun"/>
          <w:color w:val="000000"/>
          <w:sz w:val="21"/>
        </w:rPr>
        <w:t xml:space="preserve">评标委员会负责具体评标事务，并独立履行下列职责：</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（一）审查、评价投标文件是否符合招标文件的商务、技术等实质性要求；</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（二）要求投标人对投标文件有关事项作出澄清或者说明；</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（三）对投标文件进行比较和评价；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（四）确定中标候选人名单，以及根据采购人委托直接确定中标人；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（五）向采购人、采购代理机构或者有关部门报告评标中发现的违法行为。</w:t>
      </w:r>
      <w:r/>
    </w:p>
    <w:p>
      <w:pPr>
        <w:ind w:left="0" w:right="0" w:firstLine="42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22.2  评标程序</w:t>
      </w:r>
      <w:r/>
    </w:p>
    <w:p>
      <w:pPr>
        <w:ind w:left="0" w:right="0" w:firstLine="42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22.2.1 投标文件的资格性检查。</w:t>
      </w:r>
      <w:r>
        <w:rPr>
          <w:rFonts w:ascii="SimSun" w:hAnsi="SimSun" w:eastAsia="SimSun" w:cs="SimSun"/>
          <w:color w:val="000000"/>
          <w:sz w:val="21"/>
        </w:rPr>
        <w:t xml:space="preserve">公开招标采购项目开标结束后，采购人或者采购代理机构应当依法对投标人的资格进行审查。合格投标人不足3家的，不得评标。</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22.2.2投标文件的符合性审查。评标委员会对通过资格性检查的投标人的投标文件进行符合性审查，以确定其是否满足招标文件的实质性要求。投标文件有下列情况之一的，在符合性检查时按照无效投标处理：</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（1）投标人在“苏采云”系统规定的时间内未成功解密电子投标文件的；</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（2）投标人未按照招标文件要求上传电子投标文件的；</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（3）同一投标人提交两个（含两个）以上不同的投标报价的；</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（4）投标文件未按照招标文件要求加盖电子公章的；</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（5）不具备招标文件中规定的资格要求的；</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（6）报价超过招标文件中规定的预算金额或者最高限价的；</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（7）投标文件含有采购人不能接受的附加条件的；</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（8）投标文件内容不全或不符合招标文件中规定的其他实质性要求的；</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（9）修改招标文件提供的清单数量、内容等；</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（10）现行法律、法规、规章和招标文件规定的其他无效情形。</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22.2.2.1 实质性要求是指本招标文件中用带星号（“★”）等或者其他明确要求的无效标的商务和技术要求。</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22.2.2.2未通过资格审查或符合性审查的投标人，代理机构将通过“苏采云”系统告知其具体原因，评标结束后不再接受有关询问。</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22.2.2.3有下列情形之一的予以废标：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（1）符合专业条件的投标人或者对招标文件作实质性响应的投标人不足三家的；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（2）出现影响采购公正的违法、违规行为的；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（3）投标人的报价均超过了采购预算，采购人不能支付的；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（4）因苏采云系统故障造成开标不成功的；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（5）因重大变故，采购任务取消的。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（6）投标人以明显低于其他通过符合性审查投标人的报价，有可能影响产品质量或者不能诚信履约的，且不能证明其报价合理性的。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22.2.3</w:t>
      </w:r>
      <w:r>
        <w:rPr>
          <w:rFonts w:ascii="SimSun" w:hAnsi="SimSun" w:eastAsia="SimSun" w:cs="SimSun"/>
          <w:b/>
          <w:color w:val="000000"/>
          <w:sz w:val="21"/>
        </w:rPr>
        <w:t xml:space="preserve">澄清有关问题</w:t>
      </w:r>
      <w:r>
        <w:rPr>
          <w:rFonts w:ascii="SimSun" w:hAnsi="SimSun" w:eastAsia="SimSun" w:cs="SimSun"/>
          <w:color w:val="000000"/>
          <w:sz w:val="21"/>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22.2.3.1 评标期间，评委会对投标文件中含义不明确、同类问题表述不一致或者有明显文字和计算错误的内容，有权要求投标人作出必要的澄清、说明或者补正。</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投标人的澄清、说明或者补正不得超出投标文件的范围或者改变投标文件的实质性内容。</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评委会并非对每个投标人都做澄清要求。</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22.2.3.3 接到评委会澄清、说明和补正要求的，投标人如未按规定作出澄清、说明和补正，其风险由投标人自行承担。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22.2.3.4投标人在开、评标全过程中应保持通讯畅通，及时登录苏采云系统查阅、答复相关信息，并安排专人与代理机构及评委会联系。</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22.2.4比较与评价。评标委员会应当按照招标文件中规定的评标方法和标准，对符合性审查合格的投标文件进行商务和技术评估，综合比较与评价。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22.2.5</w:t>
      </w:r>
      <w:r>
        <w:rPr>
          <w:rFonts w:ascii="SimSun" w:hAnsi="SimSun" w:eastAsia="SimSun" w:cs="SimSun"/>
          <w:b/>
          <w:color w:val="000000"/>
          <w:sz w:val="21"/>
        </w:rPr>
        <w:t xml:space="preserve">政府采购异常低价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（1）投标(响应)报价低于全部通过符合性审查供应商投标(响 应)报价平均值50%的，即投标(响应)报价&lt;全部通过符合性审查供应商投标(响应)报价平均值×50%；</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（2）投标(响应)报价低于通过符合性审查的次低报价供应商 投标(响应)报价50%的，即投标(响应)报价&lt;通过符合性审查 的次低报价供应商投标(响应)报价×50%；</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（3）投标(响应)报价低于采购项目最高限价45%的，即投标(响 应)报价&lt;采购项目最高限价×45%；</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（4）评标委员会认定的供应商响应报价过低、有可能影响产品质量或者不能诚信履约的其他情形。</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属于第3项情形，供应商已随投标 (响应)文件一并提交相关书面说明及必要的证明材料的，在评审现场可不再重复提交。</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（6）评标委员会依据专业经验，参考同类项目中标(成交)价格、 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p>
    <w:p>
      <w:pPr>
        <w:ind w:left="0" w:right="0" w:firstLine="42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22.3 评标方法和标准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23.3本项目采用综合评分法，按评审后得分由高到低顺序排列，得分相同的，按投标报价由低到高顺序排列，得分且报价报价相同的，按服务方案优劣顺序排列，由评标委员会依次推荐三家中标候选供应商。第二名为备选供应商，当中标候选供应商不能履行其义务时，由备选供应商顶替，成为新的中标候选供应商，采购人也可以重新采购。</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23、确定中标人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23.1 按以下第（2）种方式确定中标人：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（1）评委会直接确定排名第一的中标候选人为中标人；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（2）采购人在评委会推荐的中标候选人中按顺序确定中标人。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按第二种方式确定中标人的，招标代理机构自评审结束之日起两个工作日内将评审报告送达采购人，采购人自收到评审报告之日起五个工作日内，在评审报告推荐的中标候选人中按顺序确定中标人。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23.2 中标人确定后，将在“江苏政府采购网”发布中标公告，公告期限为1个工作日。</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24、中标通知书</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24.1中标结果确定后，将向中标人发出《中标通知书》。中标人可在中标结果公告届满之日起三十日内,登录苏采云系统下载。因系统存储空间有限，中标结果公告届满之日起三十日后，苏采云系统不再保证提供下载《中标通知书》服务，因未及时下载而造成的不利后果由中标人自行承担。</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24.2《中标通知书》是合同的一个组成部分，对采购人和中标人均具有法律效力。《中标通知书》发出后，采购人改变中标结果或者中标人放弃中标项目的，应当依法承担法律责任。</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25、评标过程的保密性</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25.1 凡是与审查、澄清、评价和比较投标的有关资料以及投标建议等，采购人、评委、均不得向投标人或与评标无关的其他人员透露。</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25.2 投标人不得以任何方式影响评标，否则其投标文件将被作为无效投标文件。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25.3 招标人和评委会不向未中标的投标人解释未中标原因，也不公布评标过程中的相关细节。</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25.4 采用综合评分法的项目，未中标的投标人可于中标结果公告期限届满之日起通过苏采云系统查看本单位的评审得分及排名情况。</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六、签订合同</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26、签订合同</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26.1中标人应当在《中标通知书》发出之日起三十日内，按照招标文件确定的事项与采购人签订政府采购合同。</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26.2</w:t>
      </w:r>
      <w:r>
        <w:rPr>
          <w:rFonts w:ascii="SimSun" w:hAnsi="SimSun" w:eastAsia="SimSun" w:cs="SimSun"/>
          <w:color w:val="000000"/>
          <w:sz w:val="21"/>
        </w:rPr>
        <w:t xml:space="preserve">招标文件、中标人的投标文件及招标过程中有关澄清、承诺文件均作为合同附件</w:t>
      </w:r>
      <w:r>
        <w:rPr>
          <w:rFonts w:ascii="SimSun" w:hAnsi="SimSun" w:eastAsia="SimSun" w:cs="SimSun"/>
          <w:b/>
          <w:color w:val="000000"/>
          <w:sz w:val="21"/>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26.3签订合同后，中标人不得将合同标的进行转包。未经采购人同意，中标人也不得采用分包的形式履行合同，否则采购人有权终止合同。转包或分包造成采购人损失的，中标人应承担相应赔偿责任。</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26.4中标人因自身原因拒绝与采购人签订合同的，不得参加采购人重新组织的采购活动，且将可能被拒绝参加该采购人一年内的其他政府采购活动。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26.5 中标人因不可抗力或者自身原因不能履行合同的，采购人可以重新招标，也可以视情与排位在中标供应商之后第一位的中标候选人签订采购合同。</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26.6 采购人与中标人应当根据合同的约定依法履行合同义务。</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七、质疑和投诉</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27、质疑</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27.1供应商对招标活动事项有疑问的，可以向采购代理机构提出询问，采购代理机构将依法作出答复，但答复的内容不涉及商业秘密</w:t>
      </w:r>
      <w:r>
        <w:rPr>
          <w:rFonts w:ascii="SimSun" w:hAnsi="SimSun" w:eastAsia="SimSun" w:cs="SimSun"/>
          <w:b/>
          <w:color w:val="000000"/>
          <w:sz w:val="21"/>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27.2提出质疑的供应商应当是参与所质疑项目采购活动的供应商。潜在供应商已依法获取其可质疑的采购文件的，可以对该文件提出质疑。</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以联合体形式参加政府采购活动的，其质疑应当由组成联合体的所有供应商共同提出。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27.3供应商认为采购文件、采购过程和中标结果使自己的合法权益受到损害的，可以在知道或者应知其权益受到损害之日起七个工作日内，将质疑文件原件送达采购人或采购代理机构。</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如供应商通过非正当途径获取信息，并质疑投诉，企图改变评审结果等不良行为，则根据《政府采购质疑和投诉办法》第三十七条规定受到相关处罚，如属于虚假、恶意投诉，由财政部门列入不良行为记录名单，禁止其1至3年内参加政府采购活动等。</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供应商必须在法定质疑期内一次性提出针对同一采购程序环节的质疑。</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27.4 供应商提出质疑应当提交质疑函和必要的证明材料。质疑函应当包括下列内容：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（一）供应商的姓名或者名称、地址、邮编、联系人及联系电话；</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（二）质疑项目的名称、编号；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（三）具体、明确的质疑事项和与质疑事项相关的请求（具体条款）；</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（四）事实依据（具体条款）；</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（五）必要的法律依据（具体条款）；</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（六）提出质疑的日期。</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为自然人的，应当由本人签字；供应商为法人或者其他组织的，应当由法定代表人、主要负责人，或者其授权代表签字或者电子公章，并加盖电子公章。代理人提出质疑和投诉，应当提交供应商签署的授权委托书。其授权委托书应当载明代理人的姓名或者名称、代理事项、具体权限、期限和相关事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质疑函应当使用中文。相关当事人提供外文书证或者外国语视听资料的，应当附有中文译本，由翻译机构电子公章或者翻译人员签名。</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27.5质疑函应当现场提交至采购代理机构联系人处，提交时应出示有效身份证明。未按上述要求提交质疑函的，质疑不予受理。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27.6 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27.7采购代理机构在收到投标人的书面质疑后将及时组织调查核实，在</w:t>
      </w:r>
      <w:r>
        <w:rPr>
          <w:rFonts w:ascii="SimSun" w:hAnsi="SimSun" w:eastAsia="SimSun" w:cs="SimSun"/>
          <w:b/>
          <w:color w:val="000000"/>
          <w:sz w:val="21"/>
        </w:rPr>
        <w:t xml:space="preserve">七个工作日内</w:t>
      </w:r>
      <w:r>
        <w:rPr>
          <w:rFonts w:ascii="SimSun" w:hAnsi="SimSun" w:eastAsia="SimSun" w:cs="SimSun"/>
          <w:color w:val="000000"/>
          <w:sz w:val="21"/>
        </w:rPr>
        <w:t xml:space="preserve">作出答复，并以书面或在网站公告形式通知质疑投标人和其他有关投标人，答复的内容不涉及商业秘密。</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28、投诉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28.1质疑供应商对采购代理机构的答复不满意或者采购代理机构未在规定的时间内作出答复的，可以在答复期满后十五个工作日内向同级政府采购监督管理部门投诉。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28.2供应商投诉应当有明确的请求和必要的证明材料。供应商投诉的事项不得超出已质疑事项的范围。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28.3投诉人对政府采购监督管理部门的投诉处理决定不服或者政府采购监督管理部门逾期未作处理的，可以依法申请行政复议或者向人民法院提起行政诉讼。</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28.4 投诉人有下列行为之一的，属于严重失信行为，由财政部门列入不良行为记录名单，禁止其一至三年内参加政府采购活动。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（1）投诉人在全国范围12个月内三次以上投诉查无实据的；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（2）采用捏造事实、提供虚假材料或者以非法手段取得证明材料等方式进行虚假、恶意投诉。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证据来源的合法性存在明显疑问，投诉人无法证明其取得方式合法的，视为以非法手段取得证明材料。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pStyle w:val="826"/>
        <w:ind w:left="0" w:right="0" w:firstLine="0"/>
        <w:jc w:val="center"/>
        <w:spacing w:before="260" w:after="260" w:line="553" w:lineRule="atLeast"/>
        <w:pBdr>
          <w:top w:val="none" w:color="000000" w:sz="4" w:space="0"/>
          <w:left w:val="none" w:color="000000" w:sz="4" w:space="0"/>
          <w:bottom w:val="none" w:color="000000" w:sz="4" w:space="0"/>
          <w:right w:val="none" w:color="000000" w:sz="4" w:space="0"/>
        </w:pBdr>
      </w:pPr>
      <w:r>
        <w:br w:type="page" w:clear="all"/>
      </w:r>
      <w:r/>
    </w:p>
    <w:p>
      <w:pPr>
        <w:pStyle w:val="826"/>
        <w:ind w:left="0" w:right="0" w:firstLine="0"/>
        <w:jc w:val="center"/>
        <w:spacing w:before="260" w:after="260" w:line="55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none"/>
        </w:rPr>
        <w:t xml:space="preserve">第三章评标标准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w:t>
      </w:r>
      <w:r>
        <w:rPr>
          <w:rFonts w:ascii="SimSun" w:hAnsi="SimSun" w:eastAsia="SimSun" w:cs="SimSun"/>
          <w:color w:val="000000"/>
          <w:sz w:val="21"/>
        </w:rPr>
        <w:t xml:space="preserve">采用综合评分法的，评标结果按评审后最终得分由高到低进行排名，得分相同的，按投标报价由低到高顺序排列，得分且报价报价相同的，按服务方案优劣顺序排列，由评标委员会依次推荐三家中标候选供应商。第二名为备选供应商，当中标候选供应商不能履行其义务时，由备选供应商顶替，成为新的中标候选供应商，采购人也可以重新采购。</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2、评定标准：</w:t>
      </w:r>
      <w:r/>
    </w:p>
    <w:tbl>
      <w:tblPr>
        <w:tblStyle w:val="85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25"/>
        <w:gridCol w:w="530"/>
        <w:gridCol w:w="8291"/>
        <w:gridCol w:w="308"/>
      </w:tblGrid>
      <w:tr>
        <w:trPr>
          <w:trHeight w:val="58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5"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30"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评分</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因素</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291"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评审标准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08"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分值</w:t>
            </w:r>
            <w:r/>
          </w:p>
        </w:tc>
      </w:tr>
      <w:tr>
        <w:trPr>
          <w:trHeight w:val="9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5"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0"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91" w:type="dxa"/>
            <w:vAlign w:val="center"/>
            <w:textDirection w:val="lrTb"/>
            <w:noWrap/>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用低价优先法计算，即满足招标文件要求且投标价格最低的投标报价为评标基准价，其价格分为满分。其他供应商的价格分统一按照下列公式计算：投标报价得分=(评标基准价/投标报价)×20。（保留到小数点后两位，第三位四舍五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8"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20分</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5"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0"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拟投入人员配备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91" w:type="dxa"/>
            <w:vAlign w:val="center"/>
            <w:textDirection w:val="lrTb"/>
            <w:noWrap/>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评委根据供应商拟针对本项目投入的项目团队人员情况进行评分：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1、项目负责人具有工程类高级工程师及以上职称的得5分，具有工程类工程师职称的得 3分；满分5分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2、项目技术负责人具有工程类高级工程师及以上职称的得5分，具有工程类工程师职称的得 3分；满分5分。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3、项目组成员具有工程类工程师及以上职称证书的，提供一个得3分/人，满分15分。</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注：（1）上述人员得分不可兼得。（2）提供上述人员的职称证书扫描件、提供应商与上述人员签订的有效劳动合同扫描件加盖公章及供应商自 2025年 11月至 2026年4月任意一个月为上述人员缴纳的社会保险缴费证明，未提供或提供不全不得分。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8"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25分</w:t>
            </w:r>
            <w:r/>
          </w:p>
        </w:tc>
      </w:tr>
      <w:tr>
        <w:trPr>
          <w:trHeight w:val="353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5"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0"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业绩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91" w:type="dxa"/>
            <w:vAlign w:val="center"/>
            <w:textDirection w:val="lrTb"/>
            <w:noWrap/>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1、供应商自2023年 1 月 1 日（以合同签订时间为准）以来承担过类似项目业绩的，每提供一个合同得 3分，最高得6分。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（提供合同扫描件加盖公章，时间、内容以合同签订时间为准；如相关证明材料未能反映数据的，视为未提供，供应商业绩与项目负责人业绩可兼得）</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2、项目负责人自2023年 1 月 1 日（以合同签订时间为准）以来承担过类似项目业绩的，每提供一个合同得 3分，最高得3分。 </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（提供合同扫描件加盖公章，时间、内容以合同签订时间为准；项目负责人必须是供应商承接的。如相关证明材料未能反映数据的，视为未提供，供应商业绩与项目负责人业绩可兼得）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8"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9分</w:t>
            </w:r>
            <w:r/>
          </w:p>
        </w:tc>
      </w:tr>
      <w:tr>
        <w:trPr>
          <w:trHeight w:val="2901"/>
        </w:trPr>
        <w:tc>
          <w:tcPr>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225" w:type="dxa"/>
            <w:vAlign w:val="center"/>
            <w:vMerge w:val="restart"/>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530" w:type="dxa"/>
            <w:vAlign w:val="center"/>
            <w:vMerge w:val="restart"/>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服务方案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91" w:type="dxa"/>
            <w:vAlign w:val="center"/>
            <w:textDirection w:val="lrTb"/>
            <w:noWrap/>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技术方案与技术措施</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根据供应商的技术方案与技术措施进行评审和比较，并量化打分：</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1.供应商有健全的技术方案与技术措施，方案科学、合理、可行性强的得 10分； </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2.供应商的技术方案与技术措施方案较科学、较合理、可行性强的得8分； </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3.供应商的技术方案与技术措施方案较合理、基本可行的得6分； </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4.供应商的技术方案与技术措施方案不完整、不全面的得4分； </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5.不提供不得分。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8"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10分</w:t>
            </w:r>
            <w:r/>
          </w:p>
        </w:tc>
      </w:tr>
      <w:tr>
        <w:trPr>
          <w:trHeight w:val="228"/>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91"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质量管理体系与措施</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根据供应商的质量管理体系与措施进行评审和比较，并量化打分：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1.供应商有完善的质量管理体系与措施，方案科学、合理、完全可行的得9分；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2.供应商的质量管理体系与措施方案科学、较合理可行的得7分；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3.供应商的质量管理体系与措施方案较科学，基本可行的得5分；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4.供应商的质量管理体系与措施方案不完整的得3分； </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5.不提供不得分。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8"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9分</w:t>
            </w:r>
            <w:r/>
          </w:p>
        </w:tc>
      </w:tr>
      <w:tr>
        <w:trPr>
          <w:trHeight w:val="90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91"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项目进度计划及整体验收方案</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根据供应商的项目进度计划及整体验收方案进行评审和比较，并量化打分：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1.供应商有完善的项目进度计划及整体验收方案，方案科学、合理、完全可行的得9分；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2.供应商的项目进度计划及整体验收方案较科学、较合理可行的得 7分；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3.供应商的项目进度计划及整体验收方案具有一定的合理性和可行性的得5分；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4.供应商的项目进度计划及整体验收方案不完整的得3分； </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5.不提供不得分。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8"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9分</w:t>
            </w:r>
            <w:r/>
          </w:p>
        </w:tc>
      </w:tr>
      <w:tr>
        <w:trPr>
          <w:trHeight w:val="90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91"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安全管理体系及保证措施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根据供应商的安全管理体系和安全保证措施方案进行评审和比较，并量化打分：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1.供应商有健全的安全管理体系和安全保证措施，方案科学、合理、可行性强的得 9分；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2.供应商的安全管理体系和安全保证措施，较科学、较合理、可行性强的得 7分；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3.供应商的安全管理体系和安全保证措施，较合理、基本可行的得 5分；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4.供应商的安全管理体系和安全保证措施，不完整、不全面的得 3分； </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5.不提供不得分。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8"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9分</w:t>
            </w:r>
            <w:r/>
          </w:p>
        </w:tc>
      </w:tr>
      <w:tr>
        <w:trPr>
          <w:trHeight w:val="90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91"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维修服务方案</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根据供应商提供的维修服务方案等进行评审和比较，并量化打分：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1．维修服务方案完善，内容全面，可操作性、针对性强的得9分；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2．维修服务方案较完善，内容较全面，可操作性、针对性较强得 7分；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维修服务方案较完善，可操作性基本可行的得 5分；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维修服务方案不完善，可操作性不太可行的得 3分；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不提供不得分。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9分</w:t>
            </w:r>
            <w:r/>
          </w:p>
        </w:tc>
      </w:tr>
      <w:tr>
        <w:trPr>
          <w:trHeight w:val="5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5" w:type="dxa"/>
            <w:vAlign w:val="center"/>
            <w:textDirection w:val="lrTb"/>
            <w:noWrap/>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30" w:type="dxa"/>
            <w:vAlign w:val="center"/>
            <w:textDirection w:val="lrTb"/>
            <w:noWrap/>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91" w:type="dxa"/>
            <w:vAlign w:val="center"/>
            <w:textDirection w:val="lrTb"/>
            <w:noWrap/>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8"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100分</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1、所有认证、证明和业绩除上表要求外均须提供有效的证明材料加盖电子公章。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2、评审小组不保证有效报价最低的供应商成交。</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rPr>
          <w:rFonts w:ascii="SimSun" w:hAnsi="SimSun" w:eastAsia="SimSun" w:cs="SimSun"/>
          <w:b/>
          <w:color w:val="000000"/>
          <w:sz w:val="21"/>
        </w:rPr>
        <w:t xml:space="preserve">本项目所属行业：“其他未列明行业”</w:t>
      </w:r>
      <w:r/>
    </w:p>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none"/>
        </w:rPr>
        <w:t xml:space="preserve">第四章招标项目的要求和数量等</w:t>
      </w:r>
      <w:r/>
    </w:p>
    <w:p>
      <w:pPr>
        <w:ind w:left="0" w:right="0" w:firstLine="42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一、项目名称：</w:t>
      </w:r>
      <w:r/>
    </w:p>
    <w:p>
      <w:pPr>
        <w:ind w:left="0" w:right="0" w:firstLine="42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2026年鼓楼区排水设施大中修服务项目</w:t>
      </w:r>
      <w:r/>
    </w:p>
    <w:p>
      <w:pPr>
        <w:ind w:left="0" w:right="0" w:firstLine="42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二、项目概况：</w:t>
      </w:r>
      <w:r/>
    </w:p>
    <w:p>
      <w:pPr>
        <w:ind w:left="0" w:right="0" w:firstLine="42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本项目主要内容包含对鼓楼区泵站、闸门、河道、截流井等及附属设施、设备故障、损坏等进行维修或更换，采购水泵等备用件，保障设施设备安全稳定运行。</w:t>
      </w:r>
      <w:r/>
    </w:p>
    <w:p>
      <w:pPr>
        <w:ind w:left="0" w:right="0" w:firstLine="422"/>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三、服务项目清单：2026年鼓楼区排水设施大中修服务项目</w:t>
      </w:r>
      <w:r/>
    </w:p>
    <w:p>
      <w:pPr>
        <w:ind w:left="0" w:right="0" w:firstLine="422"/>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链接: https://pan.baidu.com/s/17ersM479IO2iK-BM0Hu28w?pwd=6eix 提取码: 6eix</w:t>
      </w:r>
      <w:r/>
    </w:p>
    <w:p>
      <w:pPr>
        <w:ind w:left="0" w:right="0" w:firstLine="42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四、技术参数</w:t>
      </w:r>
      <w:r/>
    </w:p>
    <w:p>
      <w:pPr>
        <w:ind w:left="0" w:right="0" w:firstLine="42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1、水泵维修依据国家行业标准 CJJ68-2007 《城镇排水管渠与泵站维护技术规程》实施。</w:t>
      </w:r>
      <w:r/>
    </w:p>
    <w:p>
      <w:pPr>
        <w:ind w:left="0" w:right="0" w:firstLine="42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2、维修与检测参照 GB3216-1989《离心泵、混流泵、轴流泵和旋涡泵试验方法》、GB/T12785-2002《潜水电泵试验方法》、GB/T13468《泵类系统电能平衡测试与计算方法》、GB/T18149-2000《离心泵、混流泵和轴流泵水力性能试验规范》等规范性文件中的潜水泵试验，系统电能平衡、水力性能试验等内容实施。</w:t>
      </w:r>
      <w:r/>
    </w:p>
    <w:p>
      <w:pPr>
        <w:ind w:left="0" w:right="0" w:firstLine="42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3、本项目质保期为项目竣工验收合格后一年。在质保期内，中标供应商承担保修义务。</w:t>
      </w:r>
      <w:r/>
    </w:p>
    <w:p>
      <w:pPr>
        <w:ind w:left="0" w:right="0" w:firstLine="42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五、报价要求及其它说明</w:t>
      </w:r>
      <w:r/>
    </w:p>
    <w:p>
      <w:pPr>
        <w:ind w:left="0" w:right="0" w:firstLine="422"/>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1、本次招标内容还包含项目实施期间突发的泵站、截流井等排水设施应急维修事宜，中标人须根据招标人要求完成指定工作内容，费用按实结算。</w:t>
      </w:r>
      <w:r/>
    </w:p>
    <w:p>
      <w:pPr>
        <w:ind w:left="0" w:right="0" w:firstLine="42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2、项目现场用水、临电费用（包括接驳施工费与水电费）由中标人承担。</w:t>
      </w:r>
      <w:r/>
    </w:p>
    <w:p>
      <w:pPr>
        <w:ind w:left="0" w:right="0" w:firstLine="42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3、本项目残值回收归业主所有，过程中拆除残值由参与方共同确认。</w:t>
      </w:r>
      <w:r/>
    </w:p>
    <w:p>
      <w:pPr>
        <w:ind w:left="0" w:right="0" w:firstLine="42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4、报价说明作为招标文件的组成部分，要求所有供应商作为有经验的承包商，其自主报价包括但不限于招标服务清单项目特征描述的工作内容，最终交付的维修成果必须满足业主的验收要求。</w:t>
      </w:r>
      <w:r/>
    </w:p>
    <w:p>
      <w:pPr>
        <w:ind w:left="0" w:right="0" w:firstLine="42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5、供应商在收到招标文件时须结合现场对清单的项目特征描述进行复核，如供应商对项目特征复核后认为描述有错误、不完整等情况，须在规定时间内以书面形式向招标人提出，招标人将书面回复。</w:t>
      </w:r>
      <w:r/>
    </w:p>
    <w:p>
      <w:pPr>
        <w:ind w:left="0" w:right="0" w:firstLine="42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项目现场、交通运输情况、自然地理条件、环境保护要求、涉及河道、水闸维修、安装的特殊要求均由供应商自行现场勘察后自行考虑。供应商须充分考虑可能对服务期限、成本及其他造成影响的各类因素，并将因此发生的费用计入报价。</w:t>
      </w:r>
      <w:r/>
    </w:p>
    <w:p>
      <w:pPr>
        <w:ind w:left="0" w:right="0" w:firstLine="42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7、供应商在填写每一项综合单价和合价时均应结合招标文件、报价要求和现场勘察情况，谨慎仔细地进行报价。</w:t>
      </w:r>
      <w:r/>
    </w:p>
    <w:p>
      <w:pPr>
        <w:ind w:left="0" w:right="0" w:firstLine="42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8、服务清单中，“项目特征”内容描述不详的，以相关文件和清单规范为准；描述不一致的以清单中“项目特征”和本说明为准。</w:t>
      </w:r>
      <w:r/>
    </w:p>
    <w:p>
      <w:pPr>
        <w:ind w:left="0" w:right="0" w:firstLine="42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9、本项目如有土石方运距、渣土淤泥弃置费及费用、人工清土厚度及修坡等，需在投标综合单价中自行考虑。</w:t>
      </w:r>
      <w:r/>
    </w:p>
    <w:p>
      <w:pPr>
        <w:ind w:left="0" w:right="0" w:firstLine="42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供应商为项目顺利实施应采取的合理有效的措施，其费用须计入报价。措施费应包括但不限于场内外运输、机械进退场、临时设施、材料周转、二次搬运、赶工措施、机械停置、噪音排污、围挡、夜间施工费、施工期间调排水费及在有害身体健康环境中施工增加、已完工程及设备保护费、交通协调以及本项目涉及到的其他措施所发生的费用。</w:t>
      </w:r>
      <w:r/>
    </w:p>
    <w:p>
      <w:pPr>
        <w:ind w:left="0" w:right="0" w:firstLine="42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11、供应商须对清单各条目进行完整性报价，综合单价为完成各清单项目所有内容的费用（包含但不限于项目特征描述的工艺、做法）。</w:t>
      </w:r>
      <w:r/>
    </w:p>
    <w:p>
      <w:pPr>
        <w:ind w:left="0" w:right="0" w:firstLine="42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12、供应商应对服务清单中的每一个项目进行报价（包括综合单价及合价），如漏报或少报项目，则视为其费用已含在其它项目的综合单价或合价中，结算时不调整。</w:t>
      </w:r>
      <w:r/>
    </w:p>
    <w:p>
      <w:pPr>
        <w:ind w:left="0" w:right="0" w:firstLine="42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13、供应商大中修所用材料配件均需与原设备配套，选用规格、型号相同的合格产品，尽可能选用原装品牌，满足品质和配套要求。</w:t>
      </w:r>
      <w:r/>
    </w:p>
    <w:p>
      <w:pPr>
        <w:ind w:left="0" w:right="0" w:firstLine="42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14、本次招标清单以招标人要求为准，招标人有权取消或减少工作内容，招标人对供应商未取得的合理利润不做任何赔偿。</w:t>
      </w:r>
      <w:r/>
    </w:p>
    <w:p>
      <w:pPr>
        <w:ind w:left="0" w:right="0" w:firstLine="42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15、维修服务特点、构造、参数、工艺、材料的要求等详见项目特征描述。</w:t>
      </w:r>
      <w:r/>
    </w:p>
    <w:p>
      <w:pPr>
        <w:ind w:left="0" w:right="0" w:firstLine="42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六、服务期限 </w:t>
      </w:r>
      <w:r/>
    </w:p>
    <w:p>
      <w:pPr>
        <w:ind w:left="0" w:right="0" w:firstLine="42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自合同签订起90天内完成，具体按照采购人实际响应时间为准。</w:t>
      </w:r>
      <w:r/>
    </w:p>
    <w:p>
      <w:pPr>
        <w:ind w:left="0" w:right="0" w:firstLine="42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七、供应商应提供项目服务的整体实施方案，包括但不限于以下内容：</w:t>
      </w:r>
      <w:r/>
    </w:p>
    <w:p>
      <w:pPr>
        <w:ind w:left="0" w:right="0" w:firstLine="42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1、技术方案与技术措施；</w:t>
      </w:r>
      <w:r/>
    </w:p>
    <w:p>
      <w:pPr>
        <w:ind w:left="0" w:right="0" w:firstLine="42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2、质量管理体系与措施；</w:t>
      </w:r>
      <w:r/>
    </w:p>
    <w:p>
      <w:pPr>
        <w:ind w:left="0" w:right="0" w:firstLine="42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3、项目进度计划及整体验收方案；</w:t>
      </w:r>
      <w:r/>
    </w:p>
    <w:p>
      <w:pPr>
        <w:ind w:left="0" w:right="0" w:firstLine="42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4、安全管理体系及保证措施；</w:t>
      </w:r>
      <w:r/>
    </w:p>
    <w:p>
      <w:pPr>
        <w:ind w:left="0" w:right="0" w:firstLine="42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5、维修服务方案。</w:t>
      </w:r>
      <w:r/>
    </w:p>
    <w:p>
      <w:pPr>
        <w:ind w:left="0" w:right="0" w:firstLine="42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八、付款方式</w:t>
      </w:r>
      <w:r/>
    </w:p>
    <w:p>
      <w:pPr>
        <w:ind w:left="0" w:right="0" w:firstLine="42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1、合同签订后，采购人向供应商支付合同价款的30%；</w:t>
      </w:r>
      <w:r/>
    </w:p>
    <w:p>
      <w:pPr>
        <w:ind w:left="0" w:right="0" w:firstLine="42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2、决算审计完成后，根据审计结果支付剩余尾款；</w:t>
      </w:r>
      <w:r/>
    </w:p>
    <w:p>
      <w:pPr>
        <w:ind w:left="0" w:right="0" w:firstLine="420"/>
        <w:spacing w:before="0" w:after="0" w:line="479" w:lineRule="atLeast"/>
        <w:pBdr>
          <w:top w:val="none" w:color="000000" w:sz="4" w:space="0"/>
          <w:left w:val="none" w:color="000000" w:sz="4" w:space="0"/>
          <w:bottom w:val="none" w:color="000000" w:sz="4" w:space="0"/>
          <w:right w:val="none" w:color="000000" w:sz="4" w:space="0"/>
        </w:pBdr>
      </w:pPr>
      <w:r>
        <w:br w:type="page" w:clear="all"/>
      </w:r>
      <w:r/>
    </w:p>
    <w:p>
      <w:pPr>
        <w:ind w:left="0" w:right="0" w:firstLine="42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九、 其他说明</w:t>
      </w:r>
      <w:r/>
    </w:p>
    <w:p>
      <w:pPr>
        <w:ind w:left="0" w:right="0" w:firstLine="42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1、中标供应商须强化安全责任意识，在本项目服务过程中产生的任何项目人员及设备安全、损坏等责任事故一律由中标供应商自行承担。</w:t>
      </w:r>
      <w:r/>
    </w:p>
    <w:p>
      <w:pPr>
        <w:ind w:left="0" w:right="0" w:firstLine="42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2、如遇突发情况，中标供应商须无条件协助采购人完成需其配合的相关服务。</w:t>
      </w:r>
      <w:r/>
    </w:p>
    <w:p>
      <w:pPr>
        <w:ind w:left="0" w:right="0" w:firstLine="42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3、在本项目服务期间，中标供应商须随时接受采购人的行业指导与检查监督，对工作中存在的问题应及时采取补救和整改措施。</w:t>
      </w:r>
      <w:r/>
    </w:p>
    <w:p>
      <w:pPr>
        <w:ind w:left="0" w:right="0" w:firstLine="42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4、中标供应商对本项目发现的服务缺陷不予更正的，采购人有权指定其他单位更正，所发生的 一切费用在合同价中扣除。</w:t>
      </w:r>
      <w:r/>
    </w:p>
    <w:p>
      <w:pPr>
        <w:ind w:left="0" w:right="0" w:firstLine="42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5、中标供应商不得以任何形式将本项目分包、转包，若采购人发现上述情况并查实后， 有权立即终止本项目合同，由此造成的一切损失和责任由中标供应商承担。</w:t>
      </w:r>
      <w:r/>
    </w:p>
    <w:p>
      <w:pPr>
        <w:ind w:left="0" w:right="0" w:firstLine="42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6、本项目服务工作人员应按采购人要求统一着装，文明作业，安全作业，规范用语，接受建议和投诉。</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本章内容为实质性要求，不允许负偏离，负偏离为无效投标。其他要求需在商务、技术条款偏离表里逐条响应并注明偏离情况，如在实施方案中响应的内容，同时需同时在偏离表里注明实施方案中具体响应章节及页码。</w:t>
      </w:r>
      <w:r/>
    </w:p>
    <w:p>
      <w:pPr>
        <w:ind w:left="0" w:right="0" w:firstLine="2821"/>
        <w:spacing w:before="240" w:after="24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2821"/>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none"/>
        </w:rPr>
        <w:t xml:space="preserve">第五章合同主要条款及格式</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rPr>
          <w:rFonts w:ascii="SimSun" w:hAnsi="SimSun" w:eastAsia="SimSun" w:cs="SimSun"/>
          <w:b/>
          <w:color w:val="000000"/>
          <w:sz w:val="28"/>
        </w:rPr>
        <w:t xml:space="preserve">        </w:t>
      </w:r>
      <w:r>
        <w:rPr>
          <w:rFonts w:ascii="SimSun" w:hAnsi="SimSun" w:eastAsia="SimSun" w:cs="SimSun"/>
          <w:color w:val="000000"/>
          <w:sz w:val="28"/>
        </w:rPr>
        <w:t xml:space="preserve">  </w:t>
      </w:r>
      <w:r/>
    </w:p>
    <w:tbl>
      <w:tblPr>
        <w:tblStyle w:val="85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271"/>
        <w:gridCol w:w="4251"/>
      </w:tblGrid>
      <w:tr>
        <w:trPr/>
        <w:tc>
          <w:tcPr>
            <w:shd w:val="clear" w:color="ffffff"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71" w:type="dxa"/>
            <w:vAlign w:val="top"/>
            <w:textDirection w:val="lrTb"/>
            <w:noWrap/>
          </w:tcPr>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采购人（以下称甲方）：</w:t>
            </w:r>
            <w:r/>
          </w:p>
        </w:tc>
        <w:tc>
          <w:tcPr>
            <w:shd w:val="clear" w:color="ffffff"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51" w:type="dxa"/>
            <w:vAlign w:val="top"/>
            <w:textDirection w:val="lrTb"/>
            <w:noWrap/>
          </w:tcPr>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供应商：（以下称乙方）</w:t>
            </w:r>
            <w:r/>
          </w:p>
        </w:tc>
      </w:tr>
      <w:tr>
        <w:trPr/>
        <w:tc>
          <w:tcPr>
            <w:shd w:val="clear" w:color="ffffff"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71" w:type="dxa"/>
            <w:vAlign w:val="top"/>
            <w:textDirection w:val="lrTb"/>
            <w:noWrap/>
          </w:tcPr>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住所地：</w:t>
            </w:r>
            <w:r/>
          </w:p>
        </w:tc>
        <w:tc>
          <w:tcPr>
            <w:shd w:val="clear" w:color="ffffff"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51" w:type="dxa"/>
            <w:vAlign w:val="top"/>
            <w:textDirection w:val="lrTb"/>
            <w:noWrap/>
          </w:tcPr>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住所地：</w:t>
            </w:r>
            <w:r/>
          </w:p>
        </w:tc>
      </w:tr>
    </w:tbl>
    <w:p>
      <w:pPr>
        <w:ind w:left="0" w:right="0" w:firstLine="420"/>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根据《中华人民共和国政府采购法》《中华人民共和国民法典》等法律法规的规定，甲乙双方按照 </w:t>
      </w:r>
      <w:r>
        <w:rPr>
          <w:rFonts w:ascii="SimSun" w:hAnsi="SimSun" w:eastAsia="SimSun" w:cs="SimSun"/>
          <w:color w:val="000000"/>
          <w:sz w:val="21"/>
          <w:u w:val="single"/>
        </w:rPr>
        <w:t xml:space="preserve">                   </w:t>
      </w:r>
      <w:r>
        <w:rPr>
          <w:rFonts w:ascii="SimSun" w:hAnsi="SimSun" w:eastAsia="SimSun" w:cs="SimSun"/>
          <w:color w:val="000000"/>
          <w:sz w:val="21"/>
        </w:rPr>
        <w:t xml:space="preserve">的招标结果签订本合同。</w:t>
      </w:r>
      <w:r/>
    </w:p>
    <w:p>
      <w:pPr>
        <w:ind w:left="0" w:right="0" w:firstLine="422"/>
        <w:jc w:val="both"/>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第一条 合同标的</w:t>
      </w:r>
      <w:r>
        <w:rPr>
          <w:rFonts w:ascii="SimSun" w:hAnsi="SimSun" w:eastAsia="SimSun" w:cs="SimSun"/>
          <w:color w:val="000000"/>
          <w:sz w:val="21"/>
        </w:rPr>
        <w:t xml:space="preserve"> </w:t>
      </w:r>
      <w:r/>
    </w:p>
    <w:p>
      <w:pPr>
        <w:ind w:left="0" w:right="0" w:firstLine="422"/>
        <w:jc w:val="both"/>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乙方根据甲方要求提供下列服务：</w:t>
      </w:r>
      <w:r>
        <w:rPr>
          <w:rFonts w:ascii="SimSun" w:hAnsi="SimSun" w:eastAsia="SimSun" w:cs="SimSun"/>
          <w:color w:val="000000"/>
          <w:sz w:val="21"/>
          <w:u w:val="single"/>
        </w:rPr>
        <w:t xml:space="preserve">                </w:t>
      </w:r>
      <w:r>
        <w:rPr>
          <w:rFonts w:ascii="SimSun" w:hAnsi="SimSun" w:eastAsia="SimSun" w:cs="SimSun"/>
          <w:color w:val="000000"/>
          <w:sz w:val="21"/>
        </w:rPr>
        <w:t xml:space="preserve">，服务内容详见附件：。</w:t>
      </w:r>
      <w:r/>
    </w:p>
    <w:p>
      <w:pPr>
        <w:ind w:left="0" w:right="0" w:firstLine="420"/>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第二条 合同总价款</w:t>
      </w:r>
      <w:r>
        <w:rPr>
          <w:rFonts w:ascii="SimSun" w:hAnsi="SimSun" w:eastAsia="SimSun" w:cs="SimSun"/>
          <w:color w:val="000000"/>
          <w:sz w:val="21"/>
        </w:rPr>
        <w:t xml:space="preserve"> </w:t>
      </w:r>
      <w:r/>
    </w:p>
    <w:p>
      <w:pPr>
        <w:ind w:left="0" w:right="0" w:firstLine="413"/>
        <w:jc w:val="both"/>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本合同项下服务价款为___________（大写）人民币，分项价款在“分项报价表”中有明确规定。 </w:t>
      </w:r>
      <w:r/>
    </w:p>
    <w:p>
      <w:pPr>
        <w:ind w:left="0" w:right="0" w:firstLine="413"/>
        <w:jc w:val="both"/>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本合同价款包含完成本服务项目发生的所有含税费用、维修费、支付给员工的工资和国家强制缴纳的各种社会保障资金，以及供应商认为需要的其他费用等。</w:t>
      </w:r>
      <w:r/>
    </w:p>
    <w:p>
      <w:pPr>
        <w:ind w:left="0" w:right="0" w:firstLine="413"/>
        <w:jc w:val="both"/>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本合同价款还包含乙方应当提供的伴随服务/售后服务费用。</w:t>
      </w:r>
      <w:r/>
    </w:p>
    <w:p>
      <w:pPr>
        <w:ind w:left="0" w:right="0" w:firstLine="413"/>
        <w:jc w:val="both"/>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本合同执行期间合同价款不变。 </w:t>
      </w:r>
      <w:r/>
    </w:p>
    <w:p>
      <w:pPr>
        <w:ind w:left="0" w:right="0" w:firstLine="413"/>
        <w:jc w:val="both"/>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第三条 组成本合同的有关文件</w:t>
      </w:r>
      <w:r/>
    </w:p>
    <w:p>
      <w:pPr>
        <w:ind w:left="0" w:right="0" w:firstLine="420"/>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下列关于</w:t>
      </w:r>
      <w:r>
        <w:rPr>
          <w:rFonts w:ascii="SimSun" w:hAnsi="SimSun" w:eastAsia="SimSun" w:cs="SimSun"/>
          <w:color w:val="000000"/>
          <w:sz w:val="21"/>
          <w:u w:val="single"/>
        </w:rPr>
        <w:t xml:space="preserve">                 </w:t>
      </w:r>
      <w:r>
        <w:rPr>
          <w:rFonts w:ascii="SimSun" w:hAnsi="SimSun" w:eastAsia="SimSun" w:cs="SimSun"/>
          <w:color w:val="000000"/>
          <w:sz w:val="21"/>
        </w:rPr>
        <w:t xml:space="preserve"> 号的招投标文件或与本次采购活动方式相适应的文件及有关附件是本合同不可分割的组成部分，与本合同具有同等法律效力，这些文件包括但不限于： </w:t>
      </w:r>
      <w:r/>
    </w:p>
    <w:p>
      <w:pPr>
        <w:ind w:left="0" w:right="0" w:firstLine="420"/>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（1）合同 </w:t>
      </w:r>
      <w:r/>
    </w:p>
    <w:p>
      <w:pPr>
        <w:ind w:left="0" w:right="0" w:firstLine="420"/>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（2）中标通知书； </w:t>
      </w:r>
      <w:r/>
    </w:p>
    <w:p>
      <w:pPr>
        <w:ind w:left="0" w:right="0" w:firstLine="420"/>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（3）乙方投标文件；</w:t>
      </w:r>
      <w:r/>
    </w:p>
    <w:p>
      <w:pPr>
        <w:ind w:left="0" w:right="0" w:firstLine="420"/>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（4）采购文件； </w:t>
      </w:r>
      <w:r/>
    </w:p>
    <w:p>
      <w:pPr>
        <w:ind w:left="0" w:right="0" w:firstLine="420"/>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（5）乙方在采购过程中所作的其他承诺、声明、书面澄清等。 </w:t>
      </w:r>
      <w:r/>
    </w:p>
    <w:p>
      <w:pPr>
        <w:ind w:left="0" w:right="0" w:firstLine="420"/>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第四条 权利保证</w:t>
      </w:r>
      <w:r/>
    </w:p>
    <w:p>
      <w:pPr>
        <w:ind w:left="0" w:right="0" w:firstLine="420"/>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乙方应保证为甲方提供货物和服务任何一部分时不受第三方提出侵犯其专利权、版权、商标权或其他权利的起诉。一旦出现侵权，乙方应承担全部责任。</w:t>
      </w:r>
      <w:r/>
    </w:p>
    <w:p>
      <w:pPr>
        <w:ind w:left="0" w:right="0" w:firstLine="420"/>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第五条 质量保证</w:t>
      </w:r>
      <w:r/>
    </w:p>
    <w:p>
      <w:pPr>
        <w:ind w:left="0" w:right="0" w:firstLine="420"/>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乙方提供的服务必须全部达到采购文件各项要求，国家或行业有规定的，还要符合相应规定。</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第六条  交付使用和验收</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、进度要求：详见第四章 采购需求。</w:t>
      </w:r>
      <w:r/>
    </w:p>
    <w:p>
      <w:pPr>
        <w:ind w:left="0" w:right="0" w:firstLine="409"/>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、验收标准：按行业通行标准和乙方投标文件的承诺</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如有</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（详见合同附件载明的标准</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如有</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，并不低于国家相关标准）。</w:t>
      </w:r>
      <w:r/>
    </w:p>
    <w:p>
      <w:pPr>
        <w:ind w:left="0" w:right="0" w:firstLine="420"/>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第七条 履约保证金（本项目无）</w:t>
      </w:r>
      <w:r/>
    </w:p>
    <w:p>
      <w:pPr>
        <w:ind w:left="0" w:right="0" w:firstLine="420"/>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1.中标供应商应按以下第（ ）方式向采购人缴纳履约保证金： </w:t>
      </w:r>
      <w:r/>
    </w:p>
    <w:p>
      <w:pPr>
        <w:ind w:left="0" w:right="0" w:firstLine="420"/>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（1）无需缴纳履约保证金； </w:t>
      </w:r>
      <w:r/>
    </w:p>
    <w:p>
      <w:pPr>
        <w:ind w:left="0" w:right="0" w:firstLine="420"/>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（2）以支票、汇票、本票或者金融机构、担保机构出具的保函等非现金形式缴纳履约保证金，金额为（ ）万元。 </w:t>
      </w:r>
      <w:r/>
    </w:p>
    <w:p>
      <w:pPr>
        <w:ind w:left="0" w:right="0" w:firstLine="420"/>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2.履约保证金的有效期为该项目免费维护期满时止。 </w:t>
      </w:r>
      <w:r/>
    </w:p>
    <w:p>
      <w:pPr>
        <w:ind w:left="0" w:right="0" w:firstLine="420"/>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3.如乙方未能履行合同规定的义务，甲方有权从履约保证金中取得补偿。 </w:t>
      </w:r>
      <w:r/>
    </w:p>
    <w:p>
      <w:pPr>
        <w:ind w:left="0" w:right="0" w:firstLine="420"/>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4.履约保证金扣除甲方应得的补偿后的余额，在有效期满后七个工作日内无息退还给乙方。</w:t>
      </w:r>
      <w:r/>
    </w:p>
    <w:p>
      <w:pPr>
        <w:ind w:left="0" w:right="0" w:firstLine="420"/>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第八条 合同款支付</w:t>
      </w:r>
      <w:r/>
    </w:p>
    <w:p>
      <w:pPr>
        <w:ind w:left="0" w:right="0" w:firstLine="42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1、本合同项下所有款项均以人民币支付。 </w:t>
      </w:r>
      <w:r/>
    </w:p>
    <w:p>
      <w:pPr>
        <w:ind w:left="0" w:right="0" w:firstLine="42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2、本合同项下的采购资金由甲方自行支付，乙方向甲方开具发票。 </w:t>
      </w:r>
      <w:r/>
    </w:p>
    <w:p>
      <w:pPr>
        <w:ind w:left="0" w:right="0" w:firstLine="42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3、付款方式：（1）合同签订后，甲方向乙方支付合同价款的30%；</w:t>
      </w:r>
      <w:r/>
    </w:p>
    <w:p>
      <w:pPr>
        <w:ind w:left="0" w:right="0" w:firstLine="42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（2）决算审计完成后，根据审计结果支付剩余尾款；</w:t>
      </w:r>
      <w:r/>
    </w:p>
    <w:p>
      <w:pPr>
        <w:ind w:left="467" w:righ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第九条 违约责任</w:t>
      </w:r>
      <w:r/>
    </w:p>
    <w:p>
      <w:pPr>
        <w:ind w:left="0" w:right="0" w:firstLine="420"/>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1、甲方无正当理由拒绝验收或拒付款的，甲方向乙方偿付合同总价的5%违约金。</w:t>
      </w:r>
      <w:r/>
    </w:p>
    <w:p>
      <w:pPr>
        <w:ind w:left="0" w:right="0" w:firstLine="420"/>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2、甲方未按合同规定的期限向乙方支付合同款的，每逾期1天甲方向乙方偿付欠款总额的5‰滞纳金，但累计滞纳金总额不超过欠款总额的5% 。</w:t>
      </w:r>
      <w:r/>
    </w:p>
    <w:p>
      <w:pPr>
        <w:ind w:left="0" w:right="0" w:firstLine="420"/>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3、如乙方不能按期交付服务的，乙方应向甲方支付合同总价5%的违约金。</w:t>
      </w:r>
      <w:r/>
    </w:p>
    <w:p>
      <w:pPr>
        <w:ind w:left="0" w:right="0" w:firstLine="420"/>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4、乙方逾期交付的，每逾期1天，乙方向甲方偿付合同总额的5‰的滞纳金。如乙方逾期交付达10天，甲方有权解除合同，解除合同的通知自到达乙方时生效。</w:t>
      </w:r>
      <w:r/>
    </w:p>
    <w:p>
      <w:pPr>
        <w:ind w:left="0" w:right="0" w:firstLine="420"/>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5.乙方所交付的服务不符合合同规定的，甲方有权拒收。甲方拒收的，乙方应向甲方支付合同总款5%的违约金。 </w:t>
      </w:r>
      <w:r/>
    </w:p>
    <w:p>
      <w:pPr>
        <w:ind w:left="0" w:right="0" w:firstLine="420"/>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6.在乙方承诺的或国家规定的质量保证期内（取两者中最长的期限），如经乙方两次整改仍不能达到合同约定的质量标准，乙方应退回全部合同价款，并按第3款处理，同时，乙方还须赔偿甲方因此遭受的损失。 </w:t>
      </w:r>
      <w:r/>
    </w:p>
    <w:p>
      <w:pPr>
        <w:ind w:left="0" w:right="0" w:firstLine="420"/>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7.乙方未按本合同的规定和服务承诺提供伴随服务/售后服务的，应按合同总价款的5%向甲方承担违约责任。 </w:t>
      </w:r>
      <w:r/>
    </w:p>
    <w:p>
      <w:pPr>
        <w:ind w:left="0" w:right="0" w:firstLine="420"/>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8.乙方在承担上述4-7款一项或多项违约责任后，仍应继续履行合同规定的义务（甲方解除合同的除外）。甲方未能及时追究乙方的任何一项违约责任并不表明甲方放弃追究乙方该项或其他违约责任。 </w:t>
      </w:r>
      <w:r/>
    </w:p>
    <w:p>
      <w:pPr>
        <w:ind w:left="0" w:right="0" w:firstLine="420"/>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9.乙方响应属虚假承诺，或经相关部门检测提供的服务不能满足文件要求，或是由于乙方的过错造成合同无法继续履行的，乙方还应向甲方支付不少于合同总价30%赔偿金。</w:t>
      </w:r>
      <w:r/>
    </w:p>
    <w:p>
      <w:pPr>
        <w:ind w:left="0" w:right="0" w:firstLine="420"/>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第十条 合同的变更和终止</w:t>
      </w:r>
      <w:r/>
    </w:p>
    <w:p>
      <w:pPr>
        <w:ind w:left="0" w:right="0" w:firstLine="420"/>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1.除《政府采购法》第50条第二款规定的情形外，本合同一经签订，甲乙双方不得擅自变更、中止或终止合同。</w:t>
      </w:r>
      <w:r/>
    </w:p>
    <w:p>
      <w:pPr>
        <w:ind w:left="0" w:right="0" w:firstLine="420"/>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除发生法律规定的不能预见、不能避免并不能克服的客观情况外，甲乙双方不得放弃或拒绝履行合同。乙方放弃或拒绝履行合同，保证金不予退还，在三年内不得参加江苏省设备成套有限公司组织的政府采购活动。</w:t>
      </w:r>
      <w:r/>
    </w:p>
    <w:p>
      <w:pPr>
        <w:ind w:left="0" w:right="0" w:firstLine="420"/>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第十一条 合同的转让</w:t>
      </w:r>
      <w:r/>
    </w:p>
    <w:p>
      <w:pPr>
        <w:ind w:left="0" w:right="0" w:firstLine="420"/>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乙方不得擅自部分或全部转让其应履行的合同义务。</w:t>
      </w:r>
      <w:r/>
    </w:p>
    <w:p>
      <w:pPr>
        <w:ind w:left="0" w:right="0" w:firstLine="420"/>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第十二条 争议的解决</w:t>
      </w:r>
      <w:r/>
    </w:p>
    <w:p>
      <w:pPr>
        <w:ind w:left="0" w:right="0" w:firstLine="420"/>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1、因履行本合同引起的或与本合同有关的争议，甲、乙双方应首先通过友好协商解决，如果协商不能解决争议，则采取以下第（2）种方式解决争议：</w:t>
      </w:r>
      <w:r/>
    </w:p>
    <w:p>
      <w:pPr>
        <w:ind w:left="0" w:right="0" w:firstLine="560"/>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（1）向甲方所在地有管辖权的人民法院提起诉讼；</w:t>
      </w:r>
      <w:r/>
    </w:p>
    <w:p>
      <w:pPr>
        <w:ind w:left="0" w:right="0" w:firstLine="560"/>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（2）向南京仲裁委员会按其仲裁规则申请仲裁。</w:t>
      </w:r>
      <w:r/>
    </w:p>
    <w:p>
      <w:pPr>
        <w:ind w:left="0" w:right="0" w:firstLine="420"/>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3、在仲裁期间，本合同应继续履行。</w:t>
      </w:r>
      <w:r/>
    </w:p>
    <w:p>
      <w:pPr>
        <w:ind w:left="0" w:right="0" w:firstLine="420"/>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第十三条 诚实信用</w:t>
      </w:r>
      <w:r/>
    </w:p>
    <w:p>
      <w:pPr>
        <w:ind w:left="0" w:right="0" w:firstLine="420"/>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乙方应诚实信用，严格按照采购文件要求和承诺履行合同，不向甲方进行商业贿赂或者提供不正当利益。</w:t>
      </w:r>
      <w:r/>
    </w:p>
    <w:p>
      <w:pPr>
        <w:ind w:left="0" w:right="0" w:firstLine="420"/>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第十四条 合同生效及其他</w:t>
      </w:r>
      <w:r/>
    </w:p>
    <w:p>
      <w:pPr>
        <w:ind w:left="0" w:right="0" w:firstLine="420"/>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1.本合同自签订之日起生效。 </w:t>
      </w:r>
      <w:r/>
    </w:p>
    <w:p>
      <w:pPr>
        <w:ind w:left="0" w:right="0" w:firstLine="420"/>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2.本合同一式陆份，甲乙双方各执叁份。 </w:t>
      </w:r>
      <w:r/>
    </w:p>
    <w:p>
      <w:pPr>
        <w:ind w:left="0" w:right="0" w:firstLine="420"/>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3.本合同应按照中华人民共和国的现行法律进行解释。 </w:t>
      </w:r>
      <w:r/>
    </w:p>
    <w:p>
      <w:pPr>
        <w:ind w:left="0" w:right="0" w:firstLine="420"/>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bl>
      <w:tblPr>
        <w:tblStyle w:val="85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43"/>
        <w:gridCol w:w="4643"/>
      </w:tblGrid>
      <w:tr>
        <w:trPr>
          <w:trHeight w:val="257"/>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43" w:type="dxa"/>
            <w:vAlign w:val="center"/>
            <w:textDirection w:val="lrTb"/>
            <w:noWrap/>
          </w:tcPr>
          <w:p>
            <w:pPr>
              <w:ind w:left="0" w:right="0" w:firstLine="420"/>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甲方（委托方）：（盖章）</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43" w:type="dxa"/>
            <w:vAlign w:val="center"/>
            <w:textDirection w:val="lrTb"/>
            <w:noWrap/>
          </w:tcPr>
          <w:p>
            <w:pPr>
              <w:ind w:left="0" w:right="0" w:firstLine="420"/>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乙方：（盖章）</w:t>
            </w:r>
            <w:r/>
          </w:p>
        </w:tc>
      </w:tr>
      <w:tr>
        <w:trPr>
          <w:trHeight w:val="362"/>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43" w:type="dxa"/>
            <w:vAlign w:val="center"/>
            <w:textDirection w:val="lrTb"/>
            <w:noWrap/>
          </w:tcPr>
          <w:p>
            <w:pPr>
              <w:ind w:left="0" w:right="0" w:firstLine="420"/>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43" w:type="dxa"/>
            <w:vAlign w:val="center"/>
            <w:textDirection w:val="lrTb"/>
            <w:noWrap/>
          </w:tcPr>
          <w:p>
            <w:pPr>
              <w:ind w:left="0" w:right="0" w:firstLine="420"/>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法定或委托代表人：</w:t>
            </w:r>
            <w:r/>
          </w:p>
        </w:tc>
      </w:tr>
      <w:tr>
        <w:trPr>
          <w:trHeight w:val="251"/>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43" w:type="dxa"/>
            <w:vAlign w:val="center"/>
            <w:textDirection w:val="lrTb"/>
            <w:noWrap/>
          </w:tcPr>
          <w:p>
            <w:pPr>
              <w:ind w:left="0" w:right="0" w:firstLine="420"/>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43" w:type="dxa"/>
            <w:vAlign w:val="center"/>
            <w:textDirection w:val="lrTb"/>
            <w:noWrap/>
          </w:tcPr>
          <w:p>
            <w:pPr>
              <w:ind w:left="0" w:right="0" w:firstLine="420"/>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w:t>
            </w:r>
            <w:r/>
          </w:p>
        </w:tc>
      </w:tr>
      <w:tr>
        <w:trPr>
          <w:trHeight w:val="28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43" w:type="dxa"/>
            <w:vAlign w:val="center"/>
            <w:textDirection w:val="lrTb"/>
            <w:noWrap/>
          </w:tcPr>
          <w:p>
            <w:pPr>
              <w:ind w:left="0" w:right="0" w:firstLine="420"/>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43" w:type="dxa"/>
            <w:vAlign w:val="center"/>
            <w:textDirection w:val="lrTb"/>
            <w:noWrap/>
          </w:tcPr>
          <w:p>
            <w:pPr>
              <w:ind w:left="0" w:right="0" w:firstLine="420"/>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w:t>
            </w:r>
            <w:r/>
          </w:p>
        </w:tc>
      </w:tr>
      <w:tr>
        <w:trPr>
          <w:trHeight w:val="315"/>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43" w:type="dxa"/>
            <w:vAlign w:val="center"/>
            <w:textDirection w:val="lrTb"/>
            <w:noWrap/>
          </w:tcPr>
          <w:p>
            <w:pPr>
              <w:ind w:left="0" w:right="0" w:firstLine="420"/>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账号：</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43" w:type="dxa"/>
            <w:vAlign w:val="center"/>
            <w:textDirection w:val="lrTb"/>
            <w:noWrap/>
          </w:tcPr>
          <w:p>
            <w:pPr>
              <w:ind w:left="0" w:right="0" w:firstLine="420"/>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账号：</w:t>
            </w:r>
            <w:r/>
          </w:p>
        </w:tc>
      </w:tr>
      <w:tr>
        <w:trPr>
          <w:trHeight w:val="572"/>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43" w:type="dxa"/>
            <w:vAlign w:val="center"/>
            <w:textDirection w:val="lrTb"/>
            <w:noWrap/>
          </w:tcPr>
          <w:p>
            <w:pPr>
              <w:ind w:left="0" w:right="0" w:firstLine="420"/>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    期：   年   月   日</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43" w:type="dxa"/>
            <w:vAlign w:val="center"/>
            <w:textDirection w:val="lrTb"/>
            <w:noWrap/>
          </w:tcPr>
          <w:p>
            <w:pPr>
              <w:ind w:left="0" w:right="0" w:firstLine="420"/>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   期：  年   月    日</w:t>
            </w:r>
            <w:r/>
          </w:p>
        </w:tc>
      </w:tr>
    </w:tbl>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none"/>
        </w:rPr>
        <w:t xml:space="preserve">第六章附</w:t>
      </w:r>
      <w:r>
        <w:rPr>
          <w:rFonts w:ascii="Times New Roman" w:hAnsi="Times New Roman" w:eastAsia="Times New Roman" w:cs="Times New Roman"/>
          <w:b/>
          <w:color w:val="000000"/>
          <w:sz w:val="36"/>
          <w:u w:val="none"/>
        </w:rPr>
        <w:t xml:space="preserve">    </w:t>
      </w:r>
      <w:r>
        <w:rPr>
          <w:rFonts w:ascii="SimSun" w:hAnsi="SimSun" w:eastAsia="SimSun" w:cs="SimSun"/>
          <w:b/>
          <w:color w:val="000000"/>
          <w:sz w:val="36"/>
          <w:u w:val="none"/>
        </w:rPr>
        <w:t xml:space="preserve">件</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（项目名称、项目编号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投标文件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投标人：（加盖电子公章）</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法定代表人或其委托代理人：（签字）</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年月日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535" w:right="187" w:firstLine="2239"/>
        <w:spacing w:before="26" w:after="64"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资格性和符合性检查响应对照表</w:t>
      </w:r>
      <w:r/>
    </w:p>
    <w:p>
      <w:pPr>
        <w:ind w:left="535" w:right="187" w:firstLine="0"/>
        <w:jc w:val="both"/>
        <w:spacing w:before="162"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0"/>
          <w:sz w:val="21"/>
        </w:rPr>
        <w:t xml:space="preserve"> </w:t>
      </w:r>
      <w:r/>
    </w:p>
    <w:tbl>
      <w:tblPr>
        <w:tblStyle w:val="85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24"/>
        <w:gridCol w:w="3998"/>
        <w:gridCol w:w="2566"/>
        <w:gridCol w:w="1867"/>
      </w:tblGrid>
      <w:tr>
        <w:trPr>
          <w:trHeight w:val="1148"/>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24" w:type="dxa"/>
            <w:vAlign w:val="center"/>
            <w:textDirection w:val="lrTb"/>
            <w:noWrap w:val="false"/>
          </w:tcPr>
          <w:p>
            <w:pPr>
              <w:ind w:left="0" w:right="187" w:firstLine="0"/>
              <w:jc w:val="center"/>
              <w:spacing w:before="12"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3998" w:type="dxa"/>
            <w:vAlign w:val="center"/>
            <w:textDirection w:val="lrTb"/>
            <w:noWrap w:val="false"/>
          </w:tcPr>
          <w:p>
            <w:pPr>
              <w:ind w:left="0" w:right="187" w:firstLine="0"/>
              <w:jc w:val="center"/>
              <w:spacing w:before="12"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资格性和符合性检查响应内容</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566" w:type="dxa"/>
            <w:vAlign w:val="center"/>
            <w:textDirection w:val="lrTb"/>
            <w:noWrap w:val="false"/>
          </w:tcPr>
          <w:p>
            <w:pPr>
              <w:ind w:left="0" w:right="0" w:firstLine="0"/>
              <w:jc w:val="center"/>
              <w:spacing w:before="91"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是否响应</w:t>
            </w:r>
            <w:r/>
          </w:p>
          <w:p>
            <w:pPr>
              <w:ind w:left="0" w:right="0" w:firstLine="0"/>
              <w:jc w:val="center"/>
              <w:spacing w:before="91"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（填是或者否）</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867" w:type="dxa"/>
            <w:vAlign w:val="center"/>
            <w:textDirection w:val="lrTb"/>
            <w:noWrap w:val="false"/>
          </w:tcPr>
          <w:p>
            <w:pPr>
              <w:ind w:left="0" w:right="36" w:firstLine="0"/>
              <w:jc w:val="center"/>
              <w:spacing w:before="124"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投标文件中的页码位置</w:t>
            </w:r>
            <w:r/>
          </w:p>
        </w:tc>
      </w:tr>
      <w:tr>
        <w:trPr>
          <w:trHeight w:val="61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24" w:type="dxa"/>
            <w:vAlign w:val="center"/>
            <w:textDirection w:val="lrTb"/>
            <w:noWrap w:val="false"/>
          </w:tcPr>
          <w:p>
            <w:pPr>
              <w:ind w:left="0" w:right="187" w:firstLine="0"/>
              <w:jc w:val="center"/>
              <w:spacing w:before="87"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998" w:type="dxa"/>
            <w:vAlign w:val="center"/>
            <w:textDirection w:val="lrTb"/>
            <w:noWrap w:val="false"/>
          </w:tcPr>
          <w:p>
            <w:pPr>
              <w:ind w:left="0" w:right="187"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566" w:type="dxa"/>
            <w:vAlign w:val="center"/>
            <w:textDirection w:val="lrTb"/>
            <w:noWrap w:val="false"/>
          </w:tcPr>
          <w:p>
            <w:pPr>
              <w:ind w:left="0" w:right="187"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67" w:type="dxa"/>
            <w:vAlign w:val="center"/>
            <w:textDirection w:val="lrTb"/>
            <w:noWrap w:val="false"/>
          </w:tcPr>
          <w:p>
            <w:pPr>
              <w:ind w:left="0" w:right="187"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2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24" w:type="dxa"/>
            <w:vAlign w:val="center"/>
            <w:textDirection w:val="lrTb"/>
            <w:noWrap w:val="false"/>
          </w:tcPr>
          <w:p>
            <w:pPr>
              <w:ind w:left="0" w:right="187" w:firstLine="0"/>
              <w:jc w:val="center"/>
              <w:spacing w:before="87"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998" w:type="dxa"/>
            <w:vAlign w:val="center"/>
            <w:textDirection w:val="lrTb"/>
            <w:noWrap w:val="false"/>
          </w:tcPr>
          <w:p>
            <w:pPr>
              <w:ind w:left="0" w:right="187"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566" w:type="dxa"/>
            <w:vAlign w:val="center"/>
            <w:textDirection w:val="lrTb"/>
            <w:noWrap w:val="false"/>
          </w:tcPr>
          <w:p>
            <w:pPr>
              <w:ind w:left="0" w:right="187"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67" w:type="dxa"/>
            <w:vAlign w:val="center"/>
            <w:textDirection w:val="lrTb"/>
            <w:noWrap w:val="false"/>
          </w:tcPr>
          <w:p>
            <w:pPr>
              <w:ind w:left="0" w:right="187"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1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24" w:type="dxa"/>
            <w:vAlign w:val="center"/>
            <w:textDirection w:val="lrTb"/>
            <w:noWrap w:val="false"/>
          </w:tcPr>
          <w:p>
            <w:pPr>
              <w:ind w:left="0" w:right="187" w:firstLine="0"/>
              <w:jc w:val="center"/>
              <w:spacing w:before="87"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998" w:type="dxa"/>
            <w:vAlign w:val="center"/>
            <w:textDirection w:val="lrTb"/>
            <w:noWrap w:val="false"/>
          </w:tcPr>
          <w:p>
            <w:pPr>
              <w:ind w:left="0" w:right="187"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566" w:type="dxa"/>
            <w:vAlign w:val="center"/>
            <w:textDirection w:val="lrTb"/>
            <w:noWrap w:val="false"/>
          </w:tcPr>
          <w:p>
            <w:pPr>
              <w:ind w:left="0" w:right="187"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67" w:type="dxa"/>
            <w:vAlign w:val="center"/>
            <w:textDirection w:val="lrTb"/>
            <w:noWrap w:val="false"/>
          </w:tcPr>
          <w:p>
            <w:pPr>
              <w:ind w:left="0" w:right="187"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1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24" w:type="dxa"/>
            <w:vAlign w:val="center"/>
            <w:textDirection w:val="lrTb"/>
            <w:noWrap w:val="false"/>
          </w:tcPr>
          <w:p>
            <w:pPr>
              <w:ind w:left="0" w:right="187" w:firstLine="0"/>
              <w:jc w:val="center"/>
              <w:spacing w:before="87"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998" w:type="dxa"/>
            <w:vAlign w:val="center"/>
            <w:textDirection w:val="lrTb"/>
            <w:noWrap w:val="false"/>
          </w:tcPr>
          <w:p>
            <w:pPr>
              <w:ind w:left="0" w:right="187"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566" w:type="dxa"/>
            <w:vAlign w:val="center"/>
            <w:textDirection w:val="lrTb"/>
            <w:noWrap w:val="false"/>
          </w:tcPr>
          <w:p>
            <w:pPr>
              <w:ind w:left="0" w:right="187"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67" w:type="dxa"/>
            <w:vAlign w:val="center"/>
            <w:textDirection w:val="lrTb"/>
            <w:noWrap w:val="false"/>
          </w:tcPr>
          <w:p>
            <w:pPr>
              <w:ind w:left="0" w:right="187"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1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24" w:type="dxa"/>
            <w:vAlign w:val="center"/>
            <w:textDirection w:val="lrTb"/>
            <w:noWrap w:val="false"/>
          </w:tcPr>
          <w:p>
            <w:pPr>
              <w:ind w:left="0" w:right="187" w:firstLine="0"/>
              <w:jc w:val="center"/>
              <w:spacing w:before="87"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998" w:type="dxa"/>
            <w:vAlign w:val="center"/>
            <w:textDirection w:val="lrTb"/>
            <w:noWrap w:val="false"/>
          </w:tcPr>
          <w:p>
            <w:pPr>
              <w:ind w:left="0" w:right="187"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566" w:type="dxa"/>
            <w:vAlign w:val="center"/>
            <w:textDirection w:val="lrTb"/>
            <w:noWrap w:val="false"/>
          </w:tcPr>
          <w:p>
            <w:pPr>
              <w:ind w:left="0" w:right="187"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67" w:type="dxa"/>
            <w:vAlign w:val="center"/>
            <w:textDirection w:val="lrTb"/>
            <w:noWrap w:val="false"/>
          </w:tcPr>
          <w:p>
            <w:pPr>
              <w:ind w:left="0" w:right="187"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1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24" w:type="dxa"/>
            <w:vAlign w:val="center"/>
            <w:textDirection w:val="lrTb"/>
            <w:noWrap w:val="false"/>
          </w:tcPr>
          <w:p>
            <w:pPr>
              <w:ind w:left="0" w:right="187" w:firstLine="0"/>
              <w:jc w:val="center"/>
              <w:spacing w:before="87"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998" w:type="dxa"/>
            <w:vAlign w:val="center"/>
            <w:textDirection w:val="lrTb"/>
            <w:noWrap w:val="false"/>
          </w:tcPr>
          <w:p>
            <w:pPr>
              <w:ind w:left="0" w:right="187"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566" w:type="dxa"/>
            <w:vAlign w:val="center"/>
            <w:textDirection w:val="lrTb"/>
            <w:noWrap w:val="false"/>
          </w:tcPr>
          <w:p>
            <w:pPr>
              <w:ind w:left="0" w:right="187"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67" w:type="dxa"/>
            <w:vAlign w:val="center"/>
            <w:textDirection w:val="lrTb"/>
            <w:noWrap w:val="false"/>
          </w:tcPr>
          <w:p>
            <w:pPr>
              <w:ind w:left="0" w:right="187"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1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24" w:type="dxa"/>
            <w:vAlign w:val="center"/>
            <w:textDirection w:val="lrTb"/>
            <w:noWrap w:val="false"/>
          </w:tcPr>
          <w:p>
            <w:pPr>
              <w:ind w:left="0" w:right="187" w:firstLine="0"/>
              <w:jc w:val="center"/>
              <w:spacing w:before="87"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998" w:type="dxa"/>
            <w:vAlign w:val="center"/>
            <w:textDirection w:val="lrTb"/>
            <w:noWrap w:val="false"/>
          </w:tcPr>
          <w:p>
            <w:pPr>
              <w:ind w:left="0" w:right="187"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566" w:type="dxa"/>
            <w:vAlign w:val="center"/>
            <w:textDirection w:val="lrTb"/>
            <w:noWrap w:val="false"/>
          </w:tcPr>
          <w:p>
            <w:pPr>
              <w:ind w:left="0" w:right="187"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67" w:type="dxa"/>
            <w:vAlign w:val="center"/>
            <w:textDirection w:val="lrTb"/>
            <w:noWrap w:val="false"/>
          </w:tcPr>
          <w:p>
            <w:pPr>
              <w:ind w:left="0" w:right="187"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1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24" w:type="dxa"/>
            <w:vAlign w:val="center"/>
            <w:textDirection w:val="lrTb"/>
            <w:noWrap w:val="false"/>
          </w:tcPr>
          <w:p>
            <w:pPr>
              <w:ind w:left="0" w:right="187" w:firstLine="0"/>
              <w:jc w:val="center"/>
              <w:spacing w:before="87"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998" w:type="dxa"/>
            <w:vAlign w:val="center"/>
            <w:textDirection w:val="lrTb"/>
            <w:noWrap w:val="false"/>
          </w:tcPr>
          <w:p>
            <w:pPr>
              <w:ind w:left="0" w:right="187"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566" w:type="dxa"/>
            <w:vAlign w:val="center"/>
            <w:textDirection w:val="lrTb"/>
            <w:noWrap w:val="false"/>
          </w:tcPr>
          <w:p>
            <w:pPr>
              <w:ind w:left="0" w:right="187"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67" w:type="dxa"/>
            <w:vAlign w:val="center"/>
            <w:textDirection w:val="lrTb"/>
            <w:noWrap w:val="false"/>
          </w:tcPr>
          <w:p>
            <w:pPr>
              <w:ind w:left="0" w:right="187"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1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24" w:type="dxa"/>
            <w:vAlign w:val="center"/>
            <w:textDirection w:val="lrTb"/>
            <w:noWrap w:val="false"/>
          </w:tcPr>
          <w:p>
            <w:pPr>
              <w:ind w:left="0" w:right="187" w:firstLine="0"/>
              <w:jc w:val="center"/>
              <w:spacing w:before="87"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998" w:type="dxa"/>
            <w:vAlign w:val="center"/>
            <w:textDirection w:val="lrTb"/>
            <w:noWrap w:val="false"/>
          </w:tcPr>
          <w:p>
            <w:pPr>
              <w:ind w:left="0" w:right="187"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566" w:type="dxa"/>
            <w:vAlign w:val="center"/>
            <w:textDirection w:val="lrTb"/>
            <w:noWrap w:val="false"/>
          </w:tcPr>
          <w:p>
            <w:pPr>
              <w:ind w:left="0" w:right="187"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67" w:type="dxa"/>
            <w:vAlign w:val="center"/>
            <w:textDirection w:val="lrTb"/>
            <w:noWrap w:val="false"/>
          </w:tcPr>
          <w:p>
            <w:pPr>
              <w:ind w:left="0" w:right="187"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1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24" w:type="dxa"/>
            <w:vAlign w:val="center"/>
            <w:textDirection w:val="lrTb"/>
            <w:noWrap w:val="false"/>
          </w:tcPr>
          <w:p>
            <w:pPr>
              <w:ind w:left="0" w:right="187" w:firstLine="0"/>
              <w:jc w:val="center"/>
              <w:spacing w:before="87"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998" w:type="dxa"/>
            <w:vAlign w:val="center"/>
            <w:textDirection w:val="lrTb"/>
            <w:noWrap w:val="false"/>
          </w:tcPr>
          <w:p>
            <w:pPr>
              <w:ind w:left="0" w:right="187"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566" w:type="dxa"/>
            <w:vAlign w:val="center"/>
            <w:textDirection w:val="lrTb"/>
            <w:noWrap w:val="false"/>
          </w:tcPr>
          <w:p>
            <w:pPr>
              <w:ind w:left="0" w:right="187"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867" w:type="dxa"/>
            <w:vAlign w:val="center"/>
            <w:textDirection w:val="lrTb"/>
            <w:noWrap w:val="false"/>
          </w:tcPr>
          <w:p>
            <w:pPr>
              <w:ind w:left="0" w:right="187"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705"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705"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705"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705"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705"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705"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目录</w:t>
      </w:r>
      <w:r/>
    </w:p>
    <w:tbl>
      <w:tblPr>
        <w:tblStyle w:val="85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600"/>
        <w:gridCol w:w="3526"/>
      </w:tblGrid>
      <w:tr>
        <w:trPr>
          <w:trHeight w:val="52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00" w:type="dxa"/>
            <w:vAlign w:val="top"/>
            <w:textDirection w:val="lrTb"/>
            <w:noWrap w:val="false"/>
          </w:tcPr>
          <w:p>
            <w:pPr>
              <w:ind w:left="722"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内   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526" w:type="dxa"/>
            <w:vAlign w:val="top"/>
            <w:textDirection w:val="lrTb"/>
            <w:noWrap w:val="false"/>
          </w:tcPr>
          <w:p>
            <w:pPr>
              <w:ind w:left="625"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在投标文件中的页码位置</w:t>
            </w:r>
            <w:r/>
          </w:p>
        </w:tc>
      </w:tr>
      <w:tr>
        <w:trPr>
          <w:trHeight w:val="56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0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6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6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0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5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6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0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6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0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0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6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0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61"/>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6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0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5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6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0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0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6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0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6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0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61"/>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2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0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5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6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0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6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0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56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0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2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bl>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附件一、投标申请及声明格式</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投标申请及声明</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致：南京市鼓楼区水务设施综合养护中心</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根据贵方</w:t>
      </w:r>
      <w:r>
        <w:rPr>
          <w:rFonts w:ascii="SimSun" w:hAnsi="SimSun" w:eastAsia="SimSun" w:cs="SimSun"/>
          <w:color w:val="000000"/>
          <w:sz w:val="21"/>
          <w:u w:val="single"/>
        </w:rPr>
        <w:t xml:space="preserve">                   </w:t>
      </w:r>
      <w:r>
        <w:rPr>
          <w:rFonts w:ascii="SimSun" w:hAnsi="SimSun" w:eastAsia="SimSun" w:cs="SimSun"/>
          <w:b/>
          <w:color w:val="000000"/>
          <w:sz w:val="21"/>
          <w:u w:val="single"/>
        </w:rPr>
        <w:t xml:space="preserve">（</w:t>
      </w:r>
      <w:r>
        <w:rPr>
          <w:rFonts w:ascii="SimSun" w:hAnsi="SimSun" w:eastAsia="SimSun" w:cs="SimSun"/>
          <w:b/>
          <w:color w:val="000000"/>
          <w:sz w:val="21"/>
        </w:rPr>
        <w:t xml:space="preserve">项目名称</w:t>
      </w:r>
      <w:r>
        <w:rPr>
          <w:rFonts w:ascii="SimSun" w:hAnsi="SimSun" w:eastAsia="SimSun" w:cs="SimSun"/>
          <w:color w:val="000000"/>
          <w:sz w:val="21"/>
        </w:rPr>
        <w:t xml:space="preserve">） </w:t>
      </w:r>
      <w:r>
        <w:rPr>
          <w:rFonts w:ascii="SimSun" w:hAnsi="SimSun" w:eastAsia="SimSun" w:cs="SimSun"/>
          <w:color w:val="000000"/>
          <w:sz w:val="21"/>
          <w:u w:val="single"/>
        </w:rPr>
        <w:t xml:space="preserve">       </w:t>
      </w:r>
      <w:r>
        <w:rPr>
          <w:rFonts w:ascii="SimSun" w:hAnsi="SimSun" w:eastAsia="SimSun" w:cs="SimSun"/>
          <w:color w:val="000000"/>
          <w:sz w:val="21"/>
        </w:rPr>
        <w:t xml:space="preserve">（项目编号）投标邀请，正式授权下述签字人</w:t>
      </w:r>
      <w:r>
        <w:rPr>
          <w:rFonts w:ascii="SimSun" w:hAnsi="SimSun" w:eastAsia="SimSun" w:cs="SimSun"/>
          <w:color w:val="000000"/>
          <w:sz w:val="21"/>
          <w:u w:val="single"/>
        </w:rPr>
        <w:t xml:space="preserve">            </w:t>
      </w:r>
      <w:r>
        <w:rPr>
          <w:rFonts w:ascii="SimSun" w:hAnsi="SimSun" w:eastAsia="SimSun" w:cs="SimSun"/>
          <w:color w:val="000000"/>
          <w:sz w:val="21"/>
        </w:rPr>
        <w:t xml:space="preserve">(姓名和职务)代表投标人</w:t>
      </w:r>
      <w:r>
        <w:rPr>
          <w:rFonts w:ascii="SimSun" w:hAnsi="SimSun" w:eastAsia="SimSun" w:cs="SimSun"/>
          <w:color w:val="000000"/>
          <w:sz w:val="21"/>
          <w:u w:val="single"/>
        </w:rPr>
        <w:t xml:space="preserve">          </w:t>
      </w:r>
      <w:r>
        <w:rPr>
          <w:rFonts w:ascii="SimSun" w:hAnsi="SimSun" w:eastAsia="SimSun" w:cs="SimSun"/>
          <w:color w:val="000000"/>
          <w:sz w:val="21"/>
        </w:rPr>
        <w:t xml:space="preserve">（投标人名称），提交投标文件。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据此函，签字人兹宣布声明和承诺如下：</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b/>
          <w:color w:val="000000"/>
          <w:sz w:val="21"/>
        </w:rPr>
        <w:t xml:space="preserve">我们的资格条件完全符合政府采购法和本次招标要求</w:t>
      </w:r>
      <w:r>
        <w:rPr>
          <w:rFonts w:ascii="SimSun" w:hAnsi="SimSun" w:eastAsia="SimSun" w:cs="SimSun"/>
          <w:color w:val="000000"/>
          <w:sz w:val="21"/>
        </w:rPr>
        <w:t xml:space="preserve">，我们同意并向贵方提供了与投标有关的所有证据和资料。</w:t>
      </w:r>
      <w:r/>
    </w:p>
    <w:p>
      <w:pPr>
        <w:ind w:left="42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2、按招标要求，我们的投标报价为 </w:t>
      </w:r>
      <w:r>
        <w:rPr>
          <w:rFonts w:ascii="SimSun" w:hAnsi="SimSun" w:eastAsia="SimSun" w:cs="SimSun"/>
          <w:color w:val="000000"/>
          <w:sz w:val="21"/>
          <w:u w:val="single"/>
        </w:rPr>
        <w:t xml:space="preserve">         </w:t>
      </w:r>
      <w:r>
        <w:rPr>
          <w:rFonts w:ascii="SimSun" w:hAnsi="SimSun" w:eastAsia="SimSun" w:cs="SimSun"/>
          <w:color w:val="000000"/>
          <w:sz w:val="21"/>
        </w:rPr>
        <w:t xml:space="preserve">万元。</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3、合同履行期为</w:t>
      </w:r>
      <w:r>
        <w:rPr>
          <w:rFonts w:ascii="SimSun" w:hAnsi="SimSun" w:eastAsia="SimSun" w:cs="SimSun"/>
          <w:color w:val="000000"/>
          <w:sz w:val="21"/>
          <w:u w:val="single"/>
        </w:rPr>
        <w:t xml:space="preserve">：            。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4、我们已详细审核全部招标文件及其有效补充文件，我们放弃对招标文件任何误解的权利，提交投标文件后，</w:t>
      </w:r>
      <w:r>
        <w:rPr>
          <w:rFonts w:ascii="SimSun" w:hAnsi="SimSun" w:eastAsia="SimSun" w:cs="SimSun"/>
          <w:b/>
          <w:color w:val="000000"/>
          <w:sz w:val="21"/>
        </w:rPr>
        <w:t xml:space="preserve">不对招标文件本身提出质疑</w:t>
      </w:r>
      <w:r>
        <w:rPr>
          <w:rFonts w:ascii="SimSun" w:hAnsi="SimSun" w:eastAsia="SimSun" w:cs="SimSun"/>
          <w:color w:val="000000"/>
          <w:sz w:val="21"/>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5、我们同意从规定的开标日期起遵循本投标文件，并在规定的投标有效期期满之前均具有约束力。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6、投标截止时间结束后参加投标的供应商不足三家的，或在评标期间出现符合专业条件的供应商或者对招标文件作出实质响应的供应商不足三家情形的，我们酌情决定是否参加贵方组织的其他采购方式采购。</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7、一旦我方中标，我方将根据招标文件的规定严格履行合同，并保证于承诺的时间完成货物的启动/集成、调试等服务，交付采购人验收、使用。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我方决不提供虚假材料谋取中标、决不采取不正当手段诋毁、排挤其他供应商、决不与采购人、其它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9、与本投标有关的正式联系方式为：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   址：</w:t>
      </w:r>
      <w:r>
        <w:rPr>
          <w:rFonts w:ascii="SimSun" w:hAnsi="SimSun" w:eastAsia="SimSun" w:cs="SimSun"/>
          <w:color w:val="000000"/>
          <w:sz w:val="21"/>
          <w:u w:val="single"/>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   话：</w:t>
      </w:r>
      <w:r>
        <w:rPr>
          <w:rFonts w:ascii="SimSun" w:hAnsi="SimSun" w:eastAsia="SimSun" w:cs="SimSun"/>
          <w:color w:val="000000"/>
          <w:sz w:val="21"/>
          <w:u w:val="single"/>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传   真：</w:t>
      </w:r>
      <w:r>
        <w:rPr>
          <w:rFonts w:ascii="SimSun" w:hAnsi="SimSun" w:eastAsia="SimSun" w:cs="SimSun"/>
          <w:color w:val="000000"/>
          <w:sz w:val="21"/>
          <w:u w:val="single"/>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银行账号：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投标人授权代表姓名（签字）：</w:t>
      </w:r>
      <w:r>
        <w:rPr>
          <w:rFonts w:ascii="SimSun" w:hAnsi="SimSun" w:eastAsia="SimSun" w:cs="SimSun"/>
          <w:color w:val="000000"/>
          <w:sz w:val="21"/>
          <w:u w:val="single"/>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w:t>
      </w:r>
      <w:r>
        <w:rPr>
          <w:rFonts w:ascii="SimSun" w:hAnsi="SimSun" w:eastAsia="SimSun" w:cs="SimSun"/>
          <w:color w:val="000000"/>
          <w:sz w:val="21"/>
          <w:u w:val="single"/>
        </w:rPr>
        <w:t xml:space="preserve">                 </w:t>
      </w:r>
      <w:r>
        <w:rPr>
          <w:rFonts w:ascii="SimSun" w:hAnsi="SimSun" w:eastAsia="SimSun" w:cs="SimSun"/>
          <w:color w:val="000000"/>
          <w:sz w:val="21"/>
        </w:rPr>
        <w:t xml:space="preserve">（电子公章）</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    期：</w:t>
      </w:r>
      <w:r>
        <w:rPr>
          <w:rFonts w:ascii="SimSun" w:hAnsi="SimSun" w:eastAsia="SimSun" w:cs="SimSun"/>
          <w:color w:val="000000"/>
          <w:sz w:val="21"/>
          <w:u w:val="single"/>
        </w:rPr>
        <w:t xml:space="preserve">       </w:t>
      </w:r>
      <w:r>
        <w:rPr>
          <w:rFonts w:ascii="SimSun" w:hAnsi="SimSun" w:eastAsia="SimSun" w:cs="SimSun"/>
          <w:color w:val="000000"/>
          <w:sz w:val="21"/>
        </w:rPr>
        <w:t xml:space="preserve">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附件二、法定代表人授权委托书格式</w:t>
      </w:r>
      <w:r/>
    </w:p>
    <w:p>
      <w:pPr>
        <w:ind w:left="0" w:right="0" w:firstLine="72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72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法定代表人授权委托书</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致：</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本授权书声明：注册于</w:t>
      </w:r>
      <w:r>
        <w:rPr>
          <w:rFonts w:ascii="SimSun" w:hAnsi="SimSun" w:eastAsia="SimSun" w:cs="SimSun"/>
          <w:color w:val="000000"/>
          <w:sz w:val="21"/>
          <w:u w:val="single"/>
        </w:rPr>
        <w:t xml:space="preserve">             </w:t>
      </w:r>
      <w:r>
        <w:rPr>
          <w:rFonts w:ascii="SimSun" w:hAnsi="SimSun" w:eastAsia="SimSun" w:cs="SimSun"/>
          <w:color w:val="000000"/>
          <w:sz w:val="21"/>
        </w:rPr>
        <w:t xml:space="preserve">（投标人住址）的</w:t>
      </w:r>
      <w:r>
        <w:rPr>
          <w:rFonts w:ascii="SimSun" w:hAnsi="SimSun" w:eastAsia="SimSun" w:cs="SimSun"/>
          <w:color w:val="000000"/>
          <w:sz w:val="21"/>
          <w:u w:val="single"/>
        </w:rPr>
        <w:t xml:space="preserve">          </w:t>
      </w:r>
      <w:r>
        <w:rPr>
          <w:rFonts w:ascii="SimSun" w:hAnsi="SimSun" w:eastAsia="SimSun" w:cs="SimSun"/>
          <w:color w:val="000000"/>
          <w:sz w:val="21"/>
        </w:rPr>
        <w:t xml:space="preserve">（投标人名称）法定代表人</w:t>
      </w:r>
      <w:r>
        <w:rPr>
          <w:rFonts w:ascii="SimSun" w:hAnsi="SimSun" w:eastAsia="SimSun" w:cs="SimSun"/>
          <w:color w:val="000000"/>
          <w:sz w:val="21"/>
          <w:u w:val="single"/>
        </w:rPr>
        <w:t xml:space="preserve">                 </w:t>
      </w:r>
      <w:r>
        <w:rPr>
          <w:rFonts w:ascii="SimSun" w:hAnsi="SimSun" w:eastAsia="SimSun" w:cs="SimSun"/>
          <w:color w:val="000000"/>
          <w:sz w:val="21"/>
        </w:rPr>
        <w:t xml:space="preserve">（法定代表人姓名、职务）代表本公司授权在下面签字的</w:t>
      </w:r>
      <w:r>
        <w:rPr>
          <w:rFonts w:ascii="SimSun" w:hAnsi="SimSun" w:eastAsia="SimSun" w:cs="SimSun"/>
          <w:color w:val="000000"/>
          <w:sz w:val="21"/>
          <w:u w:val="single"/>
        </w:rPr>
        <w:t xml:space="preserve">            </w:t>
      </w:r>
      <w:r>
        <w:rPr>
          <w:rFonts w:ascii="SimSun" w:hAnsi="SimSun" w:eastAsia="SimSun" w:cs="SimSun"/>
          <w:color w:val="000000"/>
          <w:sz w:val="21"/>
        </w:rPr>
        <w:t xml:space="preserve">（投标人代表姓名、职务）为本公司的合法代理人，就贵方组织的</w:t>
      </w:r>
      <w:r>
        <w:rPr>
          <w:rFonts w:ascii="SimSun" w:hAnsi="SimSun" w:eastAsia="SimSun" w:cs="SimSun"/>
          <w:b/>
          <w:color w:val="000000"/>
          <w:sz w:val="21"/>
          <w:u w:val="single"/>
        </w:rPr>
        <w:t xml:space="preserve">                 </w:t>
      </w:r>
      <w:r>
        <w:rPr>
          <w:rFonts w:ascii="SimSun" w:hAnsi="SimSun" w:eastAsia="SimSun" w:cs="SimSun"/>
          <w:color w:val="000000"/>
          <w:sz w:val="21"/>
        </w:rPr>
        <w:t xml:space="preserve">（</w:t>
      </w:r>
      <w:r>
        <w:rPr>
          <w:rFonts w:ascii="SimSun" w:hAnsi="SimSun" w:eastAsia="SimSun" w:cs="SimSun"/>
          <w:b/>
          <w:color w:val="000000"/>
          <w:sz w:val="21"/>
        </w:rPr>
        <w:t xml:space="preserve">项目名称</w:t>
      </w:r>
      <w:r>
        <w:rPr>
          <w:rFonts w:ascii="SimSun" w:hAnsi="SimSun" w:eastAsia="SimSun" w:cs="SimSun"/>
          <w:color w:val="000000"/>
          <w:sz w:val="21"/>
        </w:rPr>
        <w:t xml:space="preserve">），</w:t>
      </w:r>
      <w:r>
        <w:rPr>
          <w:rFonts w:ascii="SimSun" w:hAnsi="SimSun" w:eastAsia="SimSun" w:cs="SimSun"/>
          <w:color w:val="000000"/>
          <w:sz w:val="21"/>
          <w:u w:val="single"/>
        </w:rPr>
        <w:t xml:space="preserve">               </w:t>
      </w:r>
      <w:r>
        <w:rPr>
          <w:rFonts w:ascii="SimSun" w:hAnsi="SimSun" w:eastAsia="SimSun" w:cs="SimSun"/>
          <w:color w:val="000000"/>
          <w:sz w:val="21"/>
        </w:rPr>
        <w:t xml:space="preserve">（项目编号 ）投标，以本公司名义处理一切与之有关的事务。</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本授权书于</w:t>
      </w:r>
      <w:r>
        <w:rPr>
          <w:rFonts w:ascii="SimSun" w:hAnsi="SimSun" w:eastAsia="SimSun" w:cs="SimSun"/>
          <w:color w:val="000000"/>
          <w:sz w:val="21"/>
          <w:u w:val="single"/>
        </w:rPr>
        <w:t xml:space="preserve">  </w:t>
      </w:r>
      <w:r>
        <w:rPr>
          <w:rFonts w:ascii="SimSun" w:hAnsi="SimSun" w:eastAsia="SimSun" w:cs="SimSun"/>
          <w:color w:val="000000"/>
          <w:sz w:val="21"/>
        </w:rPr>
        <w:t xml:space="preserve">年 </w:t>
      </w:r>
      <w:r>
        <w:rPr>
          <w:rFonts w:ascii="SimSun" w:hAnsi="SimSun" w:eastAsia="SimSun" w:cs="SimSun"/>
          <w:color w:val="000000"/>
          <w:sz w:val="21"/>
          <w:u w:val="single"/>
        </w:rPr>
        <w:t xml:space="preserve">  </w:t>
      </w:r>
      <w:r>
        <w:rPr>
          <w:rFonts w:ascii="SimSun" w:hAnsi="SimSun" w:eastAsia="SimSun" w:cs="SimSun"/>
          <w:color w:val="000000"/>
          <w:sz w:val="21"/>
        </w:rPr>
        <w:t xml:space="preserve"> 月 </w:t>
      </w:r>
      <w:r>
        <w:rPr>
          <w:rFonts w:ascii="SimSun" w:hAnsi="SimSun" w:eastAsia="SimSun" w:cs="SimSun"/>
          <w:color w:val="000000"/>
          <w:sz w:val="21"/>
          <w:u w:val="single"/>
        </w:rPr>
        <w:t xml:space="preserve">  </w:t>
      </w:r>
      <w:r>
        <w:rPr>
          <w:rFonts w:ascii="SimSun" w:hAnsi="SimSun" w:eastAsia="SimSun" w:cs="SimSun"/>
          <w:color w:val="000000"/>
          <w:sz w:val="21"/>
        </w:rPr>
        <w:t xml:space="preserve"> 日签字生效，特此声明。</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法定代表人签字：</w:t>
      </w:r>
      <w:r/>
    </w:p>
    <w:p>
      <w:pPr>
        <w:ind w:left="0" w:right="0" w:firstLine="825"/>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授权委托人签字：                   </w:t>
      </w:r>
      <w:r/>
    </w:p>
    <w:p>
      <w:pPr>
        <w:ind w:left="0" w:right="0" w:firstLine="84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     期：        年    月    日</w:t>
      </w:r>
      <w:r/>
    </w:p>
    <w:p>
      <w:pPr>
        <w:ind w:left="0" w:right="0" w:firstLine="84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法定代表人、委托代理人的身份证明文件：</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附件三、开标一览表格式</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开标一览表</w:t>
      </w:r>
      <w:r/>
    </w:p>
    <w:tbl>
      <w:tblPr>
        <w:tblStyle w:val="85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78"/>
        <w:gridCol w:w="3588"/>
        <w:gridCol/>
        <w:gridCol w:w="2240"/>
        <w:gridCol w:w="2660"/>
      </w:tblGrid>
      <w:tr>
        <w:trPr>
          <w:trHeight w:val="284"/>
        </w:trPr>
        <w:tc>
          <w:tcPr>
            <w:gridSpan w:val="4"/>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6694" w:type="dxa"/>
            <w:vAlign w:val="center"/>
            <w:textDirection w:val="lrTb"/>
            <w:noWrap w:val="false"/>
          </w:tcPr>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项目名称</w:t>
            </w:r>
            <w:r>
              <w:rPr>
                <w:rFonts w:ascii="SimSun" w:hAnsi="SimSun" w:eastAsia="SimSun" w:cs="SimSun"/>
                <w:color w:val="000000"/>
                <w:sz w:val="21"/>
              </w:rPr>
              <w:t xml:space="preserve">：</w:t>
            </w:r>
            <w:r/>
          </w:p>
        </w:tc>
        <w:tc>
          <w:tcPr>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2660" w:type="dxa"/>
            <w:vAlign w:val="center"/>
            <w:textDirection w:val="lrTb"/>
            <w:noWrap w:val="false"/>
          </w:tcPr>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78" w:type="dxa"/>
            <w:vAlign w:val="center"/>
            <w:textDirection w:val="lrTb"/>
            <w:noWrap w:val="false"/>
          </w:tcPr>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576" w:type="dxa"/>
            <w:vAlign w:val="center"/>
            <w:textDirection w:val="lrTb"/>
            <w:noWrap w:val="false"/>
          </w:tcPr>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w:t>
            </w:r>
            <w:r/>
          </w:p>
        </w:tc>
        <w:tc>
          <w:tcPr>
            <w:gridSpan w:val="2"/>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900" w:type="dxa"/>
            <w:vAlign w:val="center"/>
            <w:textDirection w:val="lrTb"/>
            <w:noWrap w:val="false"/>
          </w:tcPr>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报价（万元）</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78" w:type="dxa"/>
            <w:vAlign w:val="center"/>
            <w:textDirection w:val="lrTb"/>
            <w:noWrap w:val="false"/>
          </w:tcPr>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576" w:type="dxa"/>
            <w:vAlign w:val="center"/>
            <w:textDirection w:val="lrTb"/>
            <w:noWrap w:val="false"/>
          </w:tcPr>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900" w:type="dxa"/>
            <w:vAlign w:val="center"/>
            <w:textDirection w:val="lrTb"/>
            <w:noWrap w:val="false"/>
          </w:tcPr>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78" w:type="dxa"/>
            <w:vAlign w:val="center"/>
            <w:textDirection w:val="lrTb"/>
            <w:noWrap w:val="false"/>
          </w:tcPr>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576" w:type="dxa"/>
            <w:vAlign w:val="center"/>
            <w:textDirection w:val="lrTb"/>
            <w:noWrap w:val="false"/>
          </w:tcPr>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900" w:type="dxa"/>
            <w:vAlign w:val="center"/>
            <w:textDirection w:val="lrTb"/>
            <w:noWrap w:val="false"/>
          </w:tcPr>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78" w:type="dxa"/>
            <w:vAlign w:val="center"/>
            <w:textDirection w:val="lrTb"/>
            <w:noWrap w:val="false"/>
          </w:tcPr>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576" w:type="dxa"/>
            <w:vAlign w:val="center"/>
            <w:textDirection w:val="lrTb"/>
            <w:noWrap w:val="false"/>
          </w:tcPr>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900" w:type="dxa"/>
            <w:vAlign w:val="center"/>
            <w:textDirection w:val="lrTb"/>
            <w:noWrap w:val="false"/>
          </w:tcPr>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78" w:type="dxa"/>
            <w:vAlign w:val="center"/>
            <w:textDirection w:val="lrTb"/>
            <w:noWrap w:val="false"/>
          </w:tcPr>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576" w:type="dxa"/>
            <w:vAlign w:val="center"/>
            <w:textDirection w:val="lrTb"/>
            <w:noWrap w:val="false"/>
          </w:tcPr>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900" w:type="dxa"/>
            <w:vAlign w:val="center"/>
            <w:textDirection w:val="lrTb"/>
            <w:noWrap w:val="false"/>
          </w:tcPr>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78" w:type="dxa"/>
            <w:vAlign w:val="center"/>
            <w:textDirection w:val="lrTb"/>
            <w:noWrap w:val="false"/>
          </w:tcPr>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576" w:type="dxa"/>
            <w:vAlign w:val="center"/>
            <w:textDirection w:val="lrTb"/>
            <w:noWrap w:val="false"/>
          </w:tcPr>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900" w:type="dxa"/>
            <w:vAlign w:val="center"/>
            <w:textDirection w:val="lrTb"/>
            <w:noWrap w:val="false"/>
          </w:tcPr>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78" w:type="dxa"/>
            <w:vAlign w:val="center"/>
            <w:textDirection w:val="lrTb"/>
            <w:noWrap w:val="false"/>
          </w:tcPr>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576" w:type="dxa"/>
            <w:vAlign w:val="center"/>
            <w:textDirection w:val="lrTb"/>
            <w:noWrap w:val="false"/>
          </w:tcPr>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900" w:type="dxa"/>
            <w:vAlign w:val="center"/>
            <w:textDirection w:val="lrTb"/>
            <w:noWrap w:val="false"/>
          </w:tcPr>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78" w:type="dxa"/>
            <w:vAlign w:val="center"/>
            <w:textDirection w:val="lrTb"/>
            <w:noWrap w:val="false"/>
          </w:tcPr>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总价（元）</w:t>
            </w:r>
            <w:r/>
          </w:p>
        </w:tc>
        <w:tc>
          <w:tcPr>
            <w:gridSpan w:val="4"/>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476" w:type="dxa"/>
            <w:vAlign w:val="center"/>
            <w:textDirection w:val="lrTb"/>
            <w:noWrap w:val="false"/>
          </w:tcPr>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小写：</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大写：</w:t>
            </w:r>
            <w:r/>
          </w:p>
        </w:tc>
      </w:tr>
      <w:tr>
        <w:trPr>
          <w:trHeight w:val="284"/>
        </w:trPr>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66" w:type="dxa"/>
            <w:vAlign w:val="center"/>
            <w:textDirection w:val="lrTb"/>
            <w:noWrap w:val="false"/>
          </w:tcPr>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小微型企业</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888" w:type="dxa"/>
            <w:vAlign w:val="center"/>
            <w:textDirection w:val="lrTb"/>
            <w:noWrap w:val="false"/>
          </w:tcPr>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    否</w:t>
            </w:r>
            <w:r/>
          </w:p>
        </w:tc>
      </w:tr>
      <w:tr>
        <w:trPr>
          <w:trHeight w:val="284"/>
        </w:trPr>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66" w:type="dxa"/>
            <w:vAlign w:val="center"/>
            <w:textDirection w:val="lrTb"/>
            <w:noWrap w:val="false"/>
          </w:tcPr>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是否中小微企业</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888" w:type="dxa"/>
            <w:vAlign w:val="center"/>
            <w:textDirection w:val="lrTb"/>
            <w:noWrap w:val="false"/>
          </w:tcPr>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投标人名称（电子公章）：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法定代表人（或授权代表）（签字）：</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w:t>
      </w:r>
      <w:r/>
    </w:p>
    <w:p>
      <w:pPr>
        <w:numPr>
          <w:ilvl w:val="0"/>
          <w:numId w:val="8"/>
        </w:numP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本项目仅接受一个价格，不得填报有选择性报价方案。若有优惠条款须注明，但不得影响报价，影响产品整体功能。</w:t>
      </w:r>
      <w:r/>
    </w:p>
    <w:p>
      <w:pPr>
        <w:numPr>
          <w:ilvl w:val="0"/>
          <w:numId w:val="8"/>
        </w:numP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“投标供应商是否属于小微型企业”栏内填写“是”或“否”。</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附件四、分项报价表格式</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分项报价表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（根据服务清单进行报价）</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附件五、技术规格偏离表格式</w:t>
      </w:r>
      <w:r/>
    </w:p>
    <w:p>
      <w:pPr>
        <w:ind w:left="42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技术规格偏离表</w:t>
      </w:r>
      <w:r/>
    </w:p>
    <w:tbl>
      <w:tblPr>
        <w:tblStyle w:val="85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86"/>
        <w:gridCol w:w="1986"/>
        <w:gridCol w:w="1920"/>
        <w:gridCol w:w="1550"/>
        <w:gridCol w:w="1599"/>
        <w:gridCol w:w="1314"/>
      </w:tblGrid>
      <w:tr>
        <w:trPr>
          <w:trHeight w:val="284"/>
        </w:trPr>
        <w:tc>
          <w:tcPr>
            <w:gridSpan w:val="4"/>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6442"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c>
          <w:tcPr>
            <w:gridSpan w:val="2"/>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291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8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8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招标文件条目号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9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招标要求规格</w:t>
            </w:r>
            <w:r/>
          </w:p>
        </w:tc>
        <w:tc>
          <w:tcPr>
            <w:gridSpan w:val="2"/>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314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投标响应</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31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偏离</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8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8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14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1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8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8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14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1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8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8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9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14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1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1、如果行数不够，请自行增加。</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其他投标人应在上表中明确投标文件技术部分与招标文件要求的技术或服务要求偏离情况，未在上表中说明的，如在投标文件其他内容中已有文字说明或相关证明材料的，则以已有文字说明或相关证明材料为准，但该表不作为供应商对所投项目关于技术或服务要求等详细描述和说明的替代。</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投标人名称（电子公章）：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法定代表人（或授权代表）（签字）：</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   期：</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附件六、商务条款偏离表格式</w:t>
      </w:r>
      <w:r/>
    </w:p>
    <w:p>
      <w:pPr>
        <w:ind w:left="0" w:right="0" w:firstLine="42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商务条款偏离表</w:t>
      </w:r>
      <w:r/>
    </w:p>
    <w:tbl>
      <w:tblPr>
        <w:tblStyle w:val="85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44"/>
        <w:gridCol w:w="1397"/>
        <w:gridCol w:w="2370"/>
        <w:gridCol w:w="1365"/>
        <w:gridCol w:w="1827"/>
        <w:gridCol w:w="1351"/>
      </w:tblGrid>
      <w:tr>
        <w:trPr>
          <w:trHeight w:val="267"/>
        </w:trPr>
        <w:tc>
          <w:tcPr>
            <w:gridSpan w:val="4"/>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617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SimSun" w:hAnsi="SimSun" w:eastAsia="SimSun" w:cs="SimSun"/>
                <w:color w:val="000000"/>
                <w:sz w:val="21"/>
              </w:rPr>
              <w:t xml:space="preserve">项目名称：</w:t>
            </w:r>
            <w:r/>
          </w:p>
        </w:tc>
        <w:tc>
          <w:tcPr>
            <w:gridSpan w:val="2"/>
            <w:tcBorders>
              <w:top w:val="none" w:color="000000" w:sz="4" w:space="0"/>
              <w:left w:val="none" w:color="000000" w:sz="4" w:space="0"/>
              <w:bottom w:val="single" w:color="000000" w:sz="8" w:space="0"/>
              <w:right w:val="none" w:color="000000" w:sz="4" w:space="0"/>
            </w:tcBorders>
            <w:tcMar>
              <w:left w:w="0" w:type="dxa"/>
              <w:top w:w="0" w:type="dxa"/>
              <w:right w:w="0" w:type="dxa"/>
              <w:bottom w:w="0" w:type="dxa"/>
            </w:tcMar>
            <w:tcW w:w="317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         </w:t>
            </w:r>
            <w:r/>
          </w:p>
        </w:tc>
      </w:tr>
      <w:tr>
        <w:trPr>
          <w:trHeight w:val="26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4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招标文件条目号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3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招标文件要求的商务条款</w:t>
            </w:r>
            <w:r/>
          </w:p>
        </w:tc>
        <w:tc>
          <w:tcPr>
            <w:gridSpan w:val="2"/>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319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投标响应</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3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偏离</w:t>
            </w:r>
            <w:r/>
          </w:p>
        </w:tc>
      </w:tr>
      <w:tr>
        <w:trPr>
          <w:trHeight w:val="26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4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3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19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6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4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3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19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6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4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9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37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19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3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4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9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37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3192"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35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35"/>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04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37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6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827"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5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
              </w:rPr>
              <w:t xml:space="preserve"> </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1、说明：如果行数不够，请自行增加。</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投标人应在上表中明确投标文件商务部分与招标文件要求的商务条款偏离情况，未在上表中说明的，如在投标文件其他内容中已有文字说明或相关证明材料的，则以已有文字说明或相关证明材料为准，但该表不作为供应商对所投项目关于商务条款等详细描述和说明的替代。</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投标人名称（电子公章）：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法定代表人（或授权代表）（签字）：</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   期：</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附件七、投标人类似业绩情况表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投标人近年来类似业绩情况表</w:t>
      </w:r>
      <w:r/>
    </w:p>
    <w:tbl>
      <w:tblPr>
        <w:tblStyle w:val="85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74"/>
        <w:gridCol w:w="1540"/>
        <w:gridCol w:w="1401"/>
        <w:gridCol w:w="980"/>
        <w:gridCol w:w="1021"/>
        <w:gridCol w:w="1499"/>
        <w:gridCol w:w="1120"/>
        <w:gridCol w:w="1120"/>
      </w:tblGrid>
      <w:tr>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7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54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40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业主单位</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980"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规模</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2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内容</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499"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签约及服务</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时间</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联系人及电话</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4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1" w:type="dxa"/>
            <w:vAlign w:val="top"/>
            <w:textDirection w:val="lrTb"/>
            <w:noWrap w:val="false"/>
          </w:tcPr>
          <w:p>
            <w:pPr>
              <w:ind w:left="0" w:right="0" w:firstLine="1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2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99"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4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2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99"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4"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54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0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8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21"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99"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2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投标人名称（电子公章）：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法定代表人（或授权代表）（签字）：</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说明：请投标人根据第三章评标标准要求提供相关资料。</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附件八、项目负责人一览表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项目负责人一览表</w:t>
      </w:r>
      <w:r/>
    </w:p>
    <w:p>
      <w:pPr>
        <w:ind w:left="0" w:right="0" w:firstLine="211"/>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项目名称：项目编号：</w:t>
      </w:r>
      <w:r/>
    </w:p>
    <w:tbl>
      <w:tblPr>
        <w:tblStyle w:val="85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22"/>
        <w:gridCol w:w="1011"/>
        <w:gridCol w:w="761"/>
        <w:gridCol w:w="1423"/>
        <w:gridCol w:w="653"/>
        <w:gridCol w:w="1447"/>
        <w:gridCol w:w="1496"/>
        <w:gridCol w:w="1196"/>
      </w:tblGrid>
      <w:tr>
        <w:trPr>
          <w:trHeight w:val="56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姓名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性别</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年龄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专业</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职称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相关工作年限</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w:t>
            </w:r>
            <w:r/>
          </w:p>
        </w:tc>
      </w:tr>
      <w:tr>
        <w:trPr>
          <w:trHeight w:val="2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9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投标人名称（电子公章）：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法定代表人（或授权代表）（签字）：</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1、“备注”栏，可填写该人员擅长的种类；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2、请投标人根据第三章评标标准要求提供相关资料。</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附件九、拟参与本项目人员一览表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拟参与本项目人员一览表</w:t>
      </w:r>
      <w:r/>
    </w:p>
    <w:p>
      <w:pPr>
        <w:ind w:left="0" w:right="0" w:firstLine="211"/>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项目名称：项目编号：</w:t>
      </w:r>
      <w:r/>
    </w:p>
    <w:tbl>
      <w:tblPr>
        <w:tblStyle w:val="85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22"/>
        <w:gridCol w:w="1011"/>
        <w:gridCol w:w="761"/>
        <w:gridCol w:w="810"/>
        <w:gridCol w:w="1266"/>
        <w:gridCol w:w="1049"/>
        <w:gridCol w:w="962"/>
        <w:gridCol w:w="2127"/>
      </w:tblGrid>
      <w:tr>
        <w:trPr>
          <w:trHeight w:val="56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姓名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性别</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年龄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专业</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职称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相关工作年限</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本项目中担任岗位</w:t>
            </w:r>
            <w:r/>
          </w:p>
        </w:tc>
      </w:tr>
      <w:tr>
        <w:trPr>
          <w:trHeight w:val="2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1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投标人名称（电子公章）：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法定代表人（或授权代表）（签字）：</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1、“备注”栏，可填写该人员擅长的种类；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2、请投标人根据第三章评标标准要求提供相关资料。</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附件十、资格证明文件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）具有独立承担民事责任的能力（提供法人或者其他组织的营业执照，自然人的身份证明）；</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）具有良好的商业信誉和健全的财务会计制度；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）具有履行合同所必需的设备和专业技术能力（根据项目需求提供履行合同所必需的设备和专业技术能力的证明材料）；</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）有依法缴纳税收和社会保障资金的良好记录；</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）参加政府采购活动前三年内，在经营活动中没有重大违法记录（提供参加本次政府采购活动前</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年内在经营活动中没有重大违法记录的书面声明）（格式见后附件）；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）法律、行政法规规定的其他条件。</w:t>
      </w:r>
      <w:r/>
    </w:p>
    <w:p>
      <w:pPr>
        <w:ind w:left="0" w:right="0" w:firstLine="45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1"/>
        </w:rPr>
        <w:t xml:space="preserve">（7）本项目特定条件：供应商具有市政公用工程施工总承包三级(含)以上资质，同时具备有效的安全生产许可证。（提供有效期内的证书加盖公章）</w:t>
        <w:br w:type="page" w:clear="all"/>
      </w:r>
      <w:r/>
    </w:p>
    <w:p>
      <w:pPr>
        <w:ind w:left="0" w:right="0" w:firstLine="45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附件（1）：具有独立承担民事责任的能力（提供法人或者其他组织的营业执照，自然人的身份证明）；</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附件（2）：具有良好的商业信誉和健全的财务会计制度；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附件（3）：具有履行合同所必需的设备和专业技术能力（根据项目需求提供履行合同所必需的设备和专业技术能力的证明材料）；</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具备履行合同所必需的设备和专业技术能力的声明格式</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南京市鼓楼区水务设施综合养护中心：</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我单位</w:t>
      </w:r>
      <w:r>
        <w:rPr>
          <w:rFonts w:ascii="SimSun" w:hAnsi="SimSun" w:eastAsia="SimSun" w:cs="SimSun"/>
          <w:color w:val="000000"/>
          <w:sz w:val="21"/>
          <w:u w:val="single"/>
        </w:rPr>
        <w:t xml:space="preserve">                   </w:t>
      </w:r>
      <w:r>
        <w:rPr>
          <w:rFonts w:ascii="SimSun" w:hAnsi="SimSun" w:eastAsia="SimSun" w:cs="SimSun"/>
          <w:color w:val="000000"/>
          <w:sz w:val="21"/>
        </w:rPr>
        <w:t xml:space="preserve">     （供应商名称）郑重声明：我公司具备履行本项采购合同所必需的设备和专业技术能力，为履行本项采购合同我单位具备如下主要设备和主要专业技术能力：</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主要设备有： </w:t>
      </w:r>
      <w:r>
        <w:rPr>
          <w:rFonts w:ascii="SimSun" w:hAnsi="SimSun" w:eastAsia="SimSun" w:cs="SimSun"/>
          <w:color w:val="000000"/>
          <w:sz w:val="21"/>
          <w:u w:val="single"/>
        </w:rPr>
        <w:t xml:space="preserve">                   </w:t>
      </w:r>
      <w:r>
        <w:rPr>
          <w:rFonts w:ascii="SimSun" w:hAnsi="SimSun" w:eastAsia="SimSun" w:cs="SimSun"/>
          <w:color w:val="000000"/>
          <w:sz w:val="21"/>
        </w:rPr>
        <w:t xml:space="preserve">      。( 若有 )</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主要专业技术能力有：</w:t>
      </w:r>
      <w:r>
        <w:rPr>
          <w:rFonts w:ascii="SimSun" w:hAnsi="SimSun" w:eastAsia="SimSun" w:cs="SimSun"/>
          <w:color w:val="000000"/>
          <w:sz w:val="21"/>
          <w:u w:val="single"/>
        </w:rPr>
        <w:t xml:space="preserve">              </w:t>
      </w:r>
      <w:r>
        <w:rPr>
          <w:rFonts w:ascii="SimSun" w:hAnsi="SimSun" w:eastAsia="SimSun" w:cs="SimSun"/>
          <w:color w:val="000000"/>
          <w:sz w:val="21"/>
        </w:rPr>
        <w:t xml:space="preserve">    。( 若有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投标人名称：（电子公章）</w:t>
      </w:r>
      <w:r/>
    </w:p>
    <w:p>
      <w:pPr>
        <w:ind w:left="0" w:right="0" w:firstLine="0"/>
        <w:jc w:val="right"/>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日期：______年    月    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附件（4）：有依法缴纳税收和社会保障资金的良好记录；</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附件（5）：参加政府采购活动前三年内，在经营活动中没有重大违法记录（提供参加本次政府采购活动前3年内在经营活动中没有重大违法记录的书面声明）</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无重大违法记录声明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南京市鼓楼区水务设施综合养护中心：</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我单位（供应商名称）郑重声明：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参加政府采购活动前3年内在经营活动中（在下划线上如实填写：有或没有）重大违法记录。</w:t>
      </w:r>
      <w:r/>
    </w:p>
    <w:p>
      <w:pPr>
        <w:ind w:left="0" w:right="0" w:firstLine="31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（说明：政府采购法第二十二条第一款第五项所称重大违法记录，是指供应商因违法经营受到刑事处罚或者责令停产停业、吊销许可证或者执照、较大数额罚款等行政处罚。）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126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投标人名称：（电子公章）</w:t>
      </w:r>
      <w:r/>
    </w:p>
    <w:p>
      <w:pPr>
        <w:ind w:left="0" w:right="0" w:firstLine="525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p>
    <w:p>
      <w:pPr>
        <w:ind w:left="0" w:right="633"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633"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附件（6）：法律、行政法规规定的其他条件。</w:t>
      </w:r>
      <w:r/>
    </w:p>
    <w:p>
      <w:pPr>
        <w:ind w:left="0" w:right="633"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633"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附件（7）：</w:t>
      </w:r>
      <w:r>
        <w:rPr>
          <w:rFonts w:ascii="SimSun" w:hAnsi="SimSun" w:eastAsia="SimSun" w:cs="SimSun"/>
          <w:b/>
          <w:color w:val="000000"/>
          <w:spacing w:val="8"/>
          <w:sz w:val="21"/>
        </w:rPr>
        <w:t xml:space="preserve">供应商具有市政公用工程施工总承包三级(含)以上资质，同时具备有效的安全生产许可证。（提供有效期内的证书加盖公章）</w:t>
      </w:r>
      <w:r/>
    </w:p>
    <w:p>
      <w:pPr>
        <w:ind w:left="0" w:right="633"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633"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附件8：《南京市政府采购供应商信用记录表暨信用承诺书》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政府采购信用承诺：“根据《关于在政府采购活动中推行信用承诺制的通知》宁财购通〔2021〕5号规定， 参加南京地区政府采购活动的供应商，应以书面形式向采购人或政府采购代理机构作出信用承诺。信用承诺以《南京市政府采购供应商信用记录表暨信用承诺书》体现。供应商应尽早做好承诺书工作，点击‘南京公共采购信息网’首页（https://njgc.jfh.com/）‘南京市政府采购供应商诚信档案’系统链接打开系统页面（http://180.101.238.212:8280/hodeframe2018_cxda/index.</w:t>
      </w:r>
      <w:r>
        <w:rPr>
          <w:rFonts w:ascii="SimSun" w:hAnsi="SimSun" w:eastAsia="SimSun" w:cs="SimSun"/>
          <w:color w:val="000000"/>
          <w:sz w:val="21"/>
        </w:rPr>
        <w:t xml:space="preserve">action;jsessionid=769BA9C8E1729422E7173B991C8EC1E5）登录（未注册的供应商应先点击‘供应商注册点这里’并按要求完成注册），然后在“信用记录”模块页面点击“信用记录打印”下载本单位信用记录表，由法人签字并盖单位公章，</w:t>
      </w:r>
      <w:r>
        <w:rPr>
          <w:rFonts w:ascii="SimSun" w:hAnsi="SimSun" w:eastAsia="SimSun" w:cs="SimSun"/>
          <w:b/>
          <w:color w:val="000000"/>
          <w:sz w:val="21"/>
        </w:rPr>
        <w:t xml:space="preserve">上传至电子响应文件中，未按要求提供信用记录表的或者未按照要求签字盖章，将按无效投标处理</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在政府采购资格审查环节，供应商只需提供书面《南京市政府采购供应商信用记录表暨信用承诺书》，即可替代以下证明材料：</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（1）符合国家相关规定的财务状况报告；</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（2）依法缴纳税收的证明材料；</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（3）依法缴纳社会保障资金的证明材料；</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（4）具备履行政府采购合同所必需的设备和专业技术能力的证明材料；</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（5）参加政府采购活动前三年内在经营活动中没有重大违法记录的证明材料；</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（6）未被列入失信被执行人、重大税收违法失信主体、政府采购严重违法失信行为记录名单的证明材料。</w:t>
      </w:r>
      <w:r/>
    </w:p>
    <w:p>
      <w:pPr>
        <w:ind w:left="0" w:right="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在中标（成交）后，应将提供上述由信用承诺书替代的证明材料（一式伍份）（（1）参加本次政府采购活动前一年的经审计的财务报告（包括“四表一注”，法人成立满一年的提供）或参加本次政府采购活动前一年内的银行资信证明（法人或其他组织提供）或其他证明材料;（2）参加本次政府采购活动前半年内至少一个月依法缴纳税收和社会保障资金的证明材料；（3）具备履行政府采购合同所必需的设备和专业技术能力的证明材料；（4）参加政府采购活动前三年内在经营活动中没有重大违法记录的证明材料），加盖公章按采购文件要求胶装提交采购人或采购代</w:t>
      </w:r>
      <w:r>
        <w:rPr>
          <w:rFonts w:ascii="SimSun" w:hAnsi="SimSun" w:eastAsia="SimSun" w:cs="SimSun"/>
          <w:color w:val="000000"/>
          <w:sz w:val="21"/>
        </w:rPr>
        <w:t xml:space="preserve">理机构核验。经核验无误后，由采购人或采购代理机构发出中标（成交）通知书。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供应商涉及以下情形的，不适用信用承诺，仍须提供上述证明材料：</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（1）供应商被列入严重失信主体名单；</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（2）被相关监管部门作出行政处罚且尚在处罚有效期内；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（3）其他法律、行政法规规定的不适用信用承诺的情形。</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供应商对信用承诺内容的真实性、合法性、有效性负责。如作出虚假信用承诺，视同为“提供虚假材料谋取中标、成交”的违法行为。</w:t>
      </w:r>
      <w:r/>
    </w:p>
    <w:p>
      <w:pPr>
        <w:ind w:left="0" w:right="633"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633"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单位负责人、公司控股关系及公司管理关系释义：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①单位负责人：</w:t>
      </w:r>
      <w:r>
        <w:rPr>
          <w:rFonts w:ascii="SimSun" w:hAnsi="SimSun" w:eastAsia="SimSun" w:cs="SimSun"/>
          <w:color w:val="000000"/>
          <w:sz w:val="21"/>
        </w:rPr>
        <w:t xml:space="preserve">是指</w:t>
      </w:r>
      <w:r>
        <w:rPr>
          <w:rFonts w:ascii="SimSun" w:hAnsi="SimSun" w:eastAsia="SimSun" w:cs="SimSun"/>
          <w:b/>
          <w:color w:val="000000"/>
          <w:sz w:val="21"/>
        </w:rPr>
        <w:t xml:space="preserve">A </w:t>
      </w:r>
      <w:r>
        <w:rPr>
          <w:rFonts w:ascii="SimSun" w:hAnsi="SimSun" w:eastAsia="SimSun" w:cs="SimSun"/>
          <w:b/>
          <w:color w:val="000000"/>
          <w:sz w:val="21"/>
          <w:u w:val="single"/>
        </w:rPr>
        <w:t xml:space="preserve">单位法定代表人</w:t>
      </w:r>
      <w:r>
        <w:rPr>
          <w:rFonts w:ascii="SimSun" w:hAnsi="SimSun" w:eastAsia="SimSun" w:cs="SimSun"/>
          <w:color w:val="000000"/>
          <w:sz w:val="21"/>
        </w:rPr>
        <w:t xml:space="preserve">或者</w:t>
      </w:r>
      <w:r>
        <w:rPr>
          <w:rFonts w:ascii="SimSun" w:hAnsi="SimSun" w:eastAsia="SimSun" w:cs="SimSun"/>
          <w:b/>
          <w:color w:val="000000"/>
          <w:sz w:val="21"/>
        </w:rPr>
        <w:t xml:space="preserve">B </w:t>
      </w:r>
      <w:r>
        <w:rPr>
          <w:rFonts w:ascii="SimSun" w:hAnsi="SimSun" w:eastAsia="SimSun" w:cs="SimSun"/>
          <w:b/>
          <w:color w:val="000000"/>
          <w:sz w:val="21"/>
          <w:u w:val="single"/>
        </w:rPr>
        <w:t xml:space="preserve">法律、行政法规规定代表单位行使职权的主要负责人。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A：所谓法定代表人：</w:t>
      </w:r>
      <w:r>
        <w:rPr>
          <w:rFonts w:ascii="SimSun" w:hAnsi="SimSun" w:eastAsia="SimSun" w:cs="SimSun"/>
          <w:color w:val="000000"/>
          <w:sz w:val="21"/>
        </w:rPr>
        <w:t xml:space="preserve">是指由法律或者法人组织章程规定，代表法人对外行使民事权利、履行民事义务的负责人。如《公司法》规定，公司法定代表人依照公司章程的规定由董事长、执行董事或者经理担任；《中华人民共和国全民所有制工业企业法》（以下简称《全民所有制工业企业法》）规定，厂长是企业的法定代表人；国家机关的最高行政官员是机关法人的法定代表人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B：所谓法律、行政法规规定代表单位行使职权的主要负责人：</w:t>
      </w:r>
      <w:r>
        <w:rPr>
          <w:rFonts w:ascii="SimSun" w:hAnsi="SimSun" w:eastAsia="SimSun" w:cs="SimSun"/>
          <w:color w:val="000000"/>
          <w:sz w:val="21"/>
        </w:rPr>
        <w:t xml:space="preserve">是指除法定代表人以外，法律、行政法规规定的代表单位行使职权的主要负责人。如个人独资企业的投资人，代表合伙企业执行合伙企业事务的合伙人等。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②控股关系：</w:t>
      </w:r>
      <w:r>
        <w:rPr>
          <w:rFonts w:ascii="SimSun" w:hAnsi="SimSun" w:eastAsia="SimSun" w:cs="SimSun"/>
          <w:color w:val="000000"/>
          <w:sz w:val="21"/>
        </w:rPr>
        <w:t xml:space="preserve">政府采购法实施条例所谓控股关系是指单位或个人股东的控股关系。控股的含义：根据《中华人民共和国公司法》第二百一十六条规定：“本法相关用语的含义：</w:t>
      </w:r>
      <w:r>
        <w:rPr>
          <w:rFonts w:ascii="SimSun" w:hAnsi="SimSun" w:eastAsia="SimSun" w:cs="SimSun"/>
          <w:b/>
          <w:color w:val="000000"/>
          <w:sz w:val="21"/>
        </w:rPr>
        <w:t xml:space="preserve">（二）控股股东，是指 A </w:t>
      </w:r>
      <w:r>
        <w:rPr>
          <w:rFonts w:ascii="SimSun" w:hAnsi="SimSun" w:eastAsia="SimSun" w:cs="SimSun"/>
          <w:b/>
          <w:color w:val="000000"/>
          <w:sz w:val="21"/>
          <w:u w:val="single"/>
        </w:rPr>
        <w:t xml:space="preserve">其出资额占有限责任公司资本总额百分之五十以上或者其持有的股份占股份有限公司股本总额百分之五十以上的股东</w:t>
      </w:r>
      <w:r>
        <w:rPr>
          <w:rFonts w:ascii="SimSun" w:hAnsi="SimSun" w:eastAsia="SimSun" w:cs="SimSun"/>
          <w:b/>
          <w:color w:val="000000"/>
          <w:sz w:val="21"/>
        </w:rPr>
        <w:t xml:space="preserve">；B </w:t>
      </w:r>
      <w:r>
        <w:rPr>
          <w:rFonts w:ascii="SimSun" w:hAnsi="SimSun" w:eastAsia="SimSun" w:cs="SimSun"/>
          <w:b/>
          <w:color w:val="000000"/>
          <w:sz w:val="21"/>
          <w:u w:val="single"/>
        </w:rPr>
        <w:t xml:space="preserve">出资额或者持有股份的比例虽然不足百分之五十，但依其出资额或者持有的股份所享有的表决权已足以对股东会、股东大会的决议产生重大影响的股东</w:t>
      </w:r>
      <w:r>
        <w:rPr>
          <w:rFonts w:ascii="SimSun" w:hAnsi="SimSun" w:eastAsia="SimSun" w:cs="SimSun"/>
          <w:color w:val="000000"/>
          <w:sz w:val="21"/>
        </w:rPr>
        <w:t xml:space="preserve">”。实践中，一般对 A 所述情形称为绝对控股，B 所述情形称为相对控股，政府采购法实施条例所称“控股”包括绝对控股和相对控股。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③管理关系：</w:t>
      </w:r>
      <w:r>
        <w:rPr>
          <w:rFonts w:ascii="SimSun" w:hAnsi="SimSun" w:eastAsia="SimSun" w:cs="SimSun"/>
          <w:color w:val="000000"/>
          <w:sz w:val="21"/>
        </w:rPr>
        <w:t xml:space="preserve">政府采购法实施条例所谓管理关系是指不具有出资持股关系的其他单位之间存在的管理与被管理关系，如一些上下级关系的事业单位和团体组织。</w:t>
      </w:r>
      <w:r/>
    </w:p>
    <w:p>
      <w:pPr>
        <w:ind w:left="0" w:right="633"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633"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附件十一、中小企业声明函（服务）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63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本公司（联合体）郑重声明，根据《政府采购促进中小企业发展管理办法》（财库﹝2020﹞46 号）的规定，本公司（联合体）参加</w:t>
      </w:r>
      <w:r>
        <w:rPr>
          <w:rFonts w:ascii="SimSun" w:hAnsi="SimSun" w:eastAsia="SimSun" w:cs="SimSun"/>
          <w:color w:val="000000"/>
          <w:sz w:val="21"/>
          <w:u w:val="single"/>
        </w:rPr>
        <w:t xml:space="preserve">（单位名称）</w:t>
      </w:r>
      <w:r>
        <w:rPr>
          <w:rFonts w:ascii="SimSun" w:hAnsi="SimSun" w:eastAsia="SimSun" w:cs="SimSun"/>
          <w:color w:val="000000"/>
          <w:sz w:val="21"/>
        </w:rPr>
        <w:t xml:space="preserve">的</w:t>
      </w:r>
      <w:r>
        <w:rPr>
          <w:rFonts w:ascii="SimSun" w:hAnsi="SimSun" w:eastAsia="SimSun" w:cs="SimSun"/>
          <w:color w:val="000000"/>
          <w:sz w:val="21"/>
          <w:u w:val="single"/>
        </w:rPr>
        <w:t xml:space="preserve">（项目名称）</w:t>
      </w:r>
      <w:r>
        <w:rPr>
          <w:rFonts w:ascii="SimSun" w:hAnsi="SimSun" w:eastAsia="SimSun" w:cs="SimSun"/>
          <w:color w:val="000000"/>
          <w:sz w:val="21"/>
        </w:rPr>
        <w:t xml:space="preserve">采购活动，项目的服务单位全部为符合政策要求的中小企业。相关企业（含联合体中的中小企业、签订分包意向协议的中小企业）的具体情况如下：</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w:t>
      </w:r>
      <w:r>
        <w:rPr>
          <w:rFonts w:ascii="SimSun" w:hAnsi="SimSun" w:eastAsia="SimSun" w:cs="SimSun"/>
          <w:color w:val="000000"/>
          <w:sz w:val="21"/>
          <w:u w:val="single"/>
        </w:rPr>
        <w:t xml:space="preserve">（标的名称）</w:t>
      </w:r>
      <w:r>
        <w:rPr>
          <w:rFonts w:ascii="SimSun" w:hAnsi="SimSun" w:eastAsia="SimSun" w:cs="SimSun"/>
          <w:color w:val="000000"/>
          <w:sz w:val="21"/>
        </w:rPr>
        <w:t xml:space="preserve">，属于</w:t>
      </w:r>
      <w:r>
        <w:rPr>
          <w:rFonts w:ascii="SimSun" w:hAnsi="SimSun" w:eastAsia="SimSun" w:cs="SimSun"/>
          <w:color w:val="000000"/>
          <w:sz w:val="21"/>
          <w:u w:val="single"/>
        </w:rPr>
        <w:t xml:space="preserve">（采购文件中明确的所属行业）</w:t>
      </w:r>
      <w:r>
        <w:rPr>
          <w:rFonts w:ascii="SimSun" w:hAnsi="SimSun" w:eastAsia="SimSun" w:cs="SimSun"/>
          <w:color w:val="000000"/>
          <w:sz w:val="21"/>
        </w:rPr>
        <w:t xml:space="preserve">； 承建</w:t>
      </w:r>
      <w:r>
        <w:rPr>
          <w:rFonts w:ascii="SimSun" w:hAnsi="SimSun" w:eastAsia="SimSun" w:cs="SimSun"/>
          <w:color w:val="000000"/>
          <w:sz w:val="21"/>
          <w:u w:val="single"/>
        </w:rPr>
        <w:t xml:space="preserve">（承接）</w:t>
      </w:r>
      <w:r>
        <w:rPr>
          <w:rFonts w:ascii="SimSun" w:hAnsi="SimSun" w:eastAsia="SimSun" w:cs="SimSun"/>
          <w:color w:val="000000"/>
          <w:sz w:val="21"/>
        </w:rPr>
        <w:t xml:space="preserve">企业为</w:t>
      </w:r>
      <w:r>
        <w:rPr>
          <w:rFonts w:ascii="SimSun" w:hAnsi="SimSun" w:eastAsia="SimSun" w:cs="SimSun"/>
          <w:color w:val="000000"/>
          <w:sz w:val="21"/>
          <w:u w:val="single"/>
        </w:rPr>
        <w:t xml:space="preserve">（企业名称）</w:t>
      </w:r>
      <w:r>
        <w:rPr>
          <w:rFonts w:ascii="SimSun" w:hAnsi="SimSun" w:eastAsia="SimSun" w:cs="SimSun"/>
          <w:color w:val="000000"/>
          <w:sz w:val="21"/>
        </w:rPr>
        <w:t xml:space="preserve">，从</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业人员 </w:t>
      </w:r>
      <w:r>
        <w:rPr>
          <w:rFonts w:ascii="SimSun" w:hAnsi="SimSun" w:eastAsia="SimSun" w:cs="SimSun"/>
          <w:color w:val="000000"/>
          <w:sz w:val="21"/>
          <w:u w:val="single"/>
        </w:rPr>
        <w:t xml:space="preserve">    </w:t>
      </w:r>
      <w:r>
        <w:rPr>
          <w:rFonts w:ascii="SimSun" w:hAnsi="SimSun" w:eastAsia="SimSun" w:cs="SimSun"/>
          <w:color w:val="000000"/>
          <w:sz w:val="21"/>
        </w:rPr>
        <w:t xml:space="preserve">人，营业收入为</w:t>
      </w:r>
      <w:r>
        <w:rPr>
          <w:rFonts w:ascii="SimSun" w:hAnsi="SimSun" w:eastAsia="SimSun" w:cs="SimSun"/>
          <w:color w:val="000000"/>
          <w:sz w:val="21"/>
          <w:u w:val="single"/>
        </w:rPr>
        <w:t xml:space="preserve">      </w:t>
      </w:r>
      <w:r>
        <w:rPr>
          <w:rFonts w:ascii="SimSun" w:hAnsi="SimSun" w:eastAsia="SimSun" w:cs="SimSun"/>
          <w:color w:val="000000"/>
          <w:sz w:val="21"/>
        </w:rPr>
        <w:t xml:space="preserve">万元，资产总额为</w:t>
      </w:r>
      <w:r>
        <w:rPr>
          <w:rFonts w:ascii="SimSun" w:hAnsi="SimSun" w:eastAsia="SimSun" w:cs="SimSun"/>
          <w:color w:val="000000"/>
          <w:sz w:val="21"/>
          <w:u w:val="single"/>
        </w:rPr>
        <w:t xml:space="preserve">     </w:t>
      </w:r>
      <w:r>
        <w:rPr>
          <w:rFonts w:ascii="SimSun" w:hAnsi="SimSun" w:eastAsia="SimSun" w:cs="SimSun"/>
          <w:color w:val="000000"/>
          <w:sz w:val="21"/>
        </w:rPr>
        <w:t xml:space="preserve"> 万元</w:t>
      </w:r>
      <w:r>
        <w:rPr>
          <w:rFonts w:ascii="SimSun" w:hAnsi="SimSun" w:eastAsia="SimSun" w:cs="SimSun"/>
          <w:color w:val="000000"/>
          <w:sz w:val="21"/>
          <w:vertAlign w:val="superscript"/>
        </w:rPr>
        <w:t xml:space="preserve">【1】</w:t>
      </w:r>
      <w:r>
        <w:rPr>
          <w:rFonts w:ascii="SimSun" w:hAnsi="SimSun" w:eastAsia="SimSun" w:cs="SimSun"/>
          <w:color w:val="000000"/>
          <w:sz w:val="21"/>
        </w:rPr>
        <w:t xml:space="preserve">，属于（中型企业、 小型企业、微型企业）；</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p>
      <w:pPr>
        <w:ind w:left="0" w:right="0" w:firstLine="52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以上企业，不属于大企业的分支机构，不存在控股股东为大企业的情形，也不存在与大企业的负责人为同一人的情形。</w:t>
      </w:r>
      <w:r/>
    </w:p>
    <w:p>
      <w:pPr>
        <w:ind w:left="0" w:right="0" w:firstLine="52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本企业对上述声明内容的真实性负责。如有虚假，将依法承担相应责任。</w:t>
      </w:r>
      <w:r/>
    </w:p>
    <w:p>
      <w:pPr>
        <w:ind w:left="0" w:right="0" w:firstLine="535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企业名称（电子公章）：</w:t>
      </w:r>
      <w:r/>
    </w:p>
    <w:p>
      <w:pPr>
        <w:ind w:left="0" w:right="0" w:firstLine="535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注：【1】从业人员、营业收入、资产总额填报上一年度数据，无上一年度数据的新成立企业可不填报。</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中小企业划型标准规定</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工信部联企业〔</w:t>
      </w:r>
      <w:r>
        <w:rPr>
          <w:rFonts w:ascii="Times New Roman" w:hAnsi="Times New Roman" w:eastAsia="Times New Roman" w:cs="Times New Roman"/>
          <w:color w:val="000000"/>
          <w:sz w:val="21"/>
        </w:rPr>
        <w:t xml:space="preserve">2011</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300</w:t>
      </w:r>
      <w:r>
        <w:rPr>
          <w:rFonts w:ascii="SimSun" w:hAnsi="SimSun" w:eastAsia="SimSun" w:cs="SimSun"/>
          <w:color w:val="000000"/>
          <w:sz w:val="21"/>
        </w:rPr>
        <w:t xml:space="preserve">号</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一、根据《中华人民共和国中小企业促进法》和《国务院关于进一步促进中小企业发展的若干意见》（国发〔</w:t>
      </w:r>
      <w:r>
        <w:rPr>
          <w:rFonts w:ascii="Times New Roman" w:hAnsi="Times New Roman" w:eastAsia="Times New Roman" w:cs="Times New Roman"/>
          <w:color w:val="000000"/>
          <w:sz w:val="21"/>
        </w:rPr>
        <w:t xml:space="preserve">2009</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36</w:t>
      </w:r>
      <w:r>
        <w:rPr>
          <w:rFonts w:ascii="SimSun" w:hAnsi="SimSun" w:eastAsia="SimSun" w:cs="SimSun"/>
          <w:color w:val="000000"/>
          <w:sz w:val="21"/>
        </w:rPr>
        <w:t xml:space="preserve">号</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，制定本规定。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二、中小企业划分为中型、小型、微型三种类型，具体标准根据企业从业人员、营业收入、资产总额等指标，结合行业特点制定。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四、各行业划型标准为：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（一）农、林、牧、渔业。营业收入</w:t>
      </w:r>
      <w:r>
        <w:rPr>
          <w:rFonts w:ascii="Times New Roman" w:hAnsi="Times New Roman" w:eastAsia="Times New Roman" w:cs="Times New Roman"/>
          <w:color w:val="000000"/>
          <w:sz w:val="21"/>
        </w:rPr>
        <w:t xml:space="preserve">20000</w:t>
      </w:r>
      <w:r>
        <w:rPr>
          <w:rFonts w:ascii="SimSun" w:hAnsi="SimSun" w:eastAsia="SimSun" w:cs="SimSun"/>
          <w:color w:val="000000"/>
          <w:sz w:val="21"/>
        </w:rPr>
        <w:t xml:space="preserve">万元以下的为中小微型企业。其中，营业收入</w:t>
      </w:r>
      <w:r>
        <w:rPr>
          <w:rFonts w:ascii="Times New Roman" w:hAnsi="Times New Roman" w:eastAsia="Times New Roman" w:cs="Times New Roman"/>
          <w:color w:val="000000"/>
          <w:sz w:val="21"/>
        </w:rPr>
        <w:t xml:space="preserve">500</w:t>
      </w:r>
      <w:r>
        <w:rPr>
          <w:rFonts w:ascii="SimSun" w:hAnsi="SimSun" w:eastAsia="SimSun" w:cs="SimSun"/>
          <w:color w:val="000000"/>
          <w:sz w:val="21"/>
        </w:rPr>
        <w:t xml:space="preserve">万元及以上的为中型企业，营业收入</w:t>
      </w:r>
      <w:r>
        <w:rPr>
          <w:rFonts w:ascii="Times New Roman" w:hAnsi="Times New Roman" w:eastAsia="Times New Roman" w:cs="Times New Roman"/>
          <w:color w:val="000000"/>
          <w:sz w:val="21"/>
        </w:rPr>
        <w:t xml:space="preserve">50</w:t>
      </w:r>
      <w:r>
        <w:rPr>
          <w:rFonts w:ascii="SimSun" w:hAnsi="SimSun" w:eastAsia="SimSun" w:cs="SimSun"/>
          <w:color w:val="000000"/>
          <w:sz w:val="21"/>
        </w:rPr>
        <w:t xml:space="preserve">万元及以上的为小型企业，营业收入</w:t>
      </w:r>
      <w:r>
        <w:rPr>
          <w:rFonts w:ascii="Times New Roman" w:hAnsi="Times New Roman" w:eastAsia="Times New Roman" w:cs="Times New Roman"/>
          <w:color w:val="000000"/>
          <w:sz w:val="21"/>
        </w:rPr>
        <w:t xml:space="preserve">50</w:t>
      </w:r>
      <w:r>
        <w:rPr>
          <w:rFonts w:ascii="SimSun" w:hAnsi="SimSun" w:eastAsia="SimSun" w:cs="SimSun"/>
          <w:color w:val="000000"/>
          <w:sz w:val="21"/>
        </w:rPr>
        <w:t xml:space="preserve">万元以下的为微型企业。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（二）工业。从业人员</w:t>
      </w:r>
      <w:r>
        <w:rPr>
          <w:rFonts w:ascii="Times New Roman" w:hAnsi="Times New Roman" w:eastAsia="Times New Roman" w:cs="Times New Roman"/>
          <w:color w:val="000000"/>
          <w:sz w:val="21"/>
        </w:rPr>
        <w:t xml:space="preserve">1000</w:t>
      </w:r>
      <w:r>
        <w:rPr>
          <w:rFonts w:ascii="SimSun" w:hAnsi="SimSun" w:eastAsia="SimSun" w:cs="SimSun"/>
          <w:color w:val="000000"/>
          <w:sz w:val="21"/>
        </w:rPr>
        <w:t xml:space="preserve">人以下或营业收入</w:t>
      </w:r>
      <w:r>
        <w:rPr>
          <w:rFonts w:ascii="Times New Roman" w:hAnsi="Times New Roman" w:eastAsia="Times New Roman" w:cs="Times New Roman"/>
          <w:color w:val="000000"/>
          <w:sz w:val="21"/>
        </w:rPr>
        <w:t xml:space="preserve">40000</w:t>
      </w:r>
      <w:r>
        <w:rPr>
          <w:rFonts w:ascii="SimSun" w:hAnsi="SimSun" w:eastAsia="SimSun" w:cs="SimSun"/>
          <w:color w:val="000000"/>
          <w:sz w:val="21"/>
        </w:rPr>
        <w:t xml:space="preserve">万元以下的为中小微型企业。其中，从业人员</w:t>
      </w:r>
      <w:r>
        <w:rPr>
          <w:rFonts w:ascii="Times New Roman" w:hAnsi="Times New Roman" w:eastAsia="Times New Roman" w:cs="Times New Roman"/>
          <w:color w:val="000000"/>
          <w:sz w:val="21"/>
        </w:rPr>
        <w:t xml:space="preserve">300</w:t>
      </w:r>
      <w:r>
        <w:rPr>
          <w:rFonts w:ascii="SimSun" w:hAnsi="SimSun" w:eastAsia="SimSun" w:cs="SimSun"/>
          <w:color w:val="000000"/>
          <w:sz w:val="21"/>
        </w:rPr>
        <w:t xml:space="preserve">人及以上，且营业收入</w:t>
      </w:r>
      <w:r>
        <w:rPr>
          <w:rFonts w:ascii="Times New Roman" w:hAnsi="Times New Roman" w:eastAsia="Times New Roman" w:cs="Times New Roman"/>
          <w:color w:val="000000"/>
          <w:sz w:val="21"/>
        </w:rPr>
        <w:t xml:space="preserve">2000</w:t>
      </w:r>
      <w:r>
        <w:rPr>
          <w:rFonts w:ascii="SimSun" w:hAnsi="SimSun" w:eastAsia="SimSun" w:cs="SimSun"/>
          <w:color w:val="000000"/>
          <w:sz w:val="21"/>
        </w:rPr>
        <w:t xml:space="preserve">万元及以上的为中型企业；从业人员</w:t>
      </w:r>
      <w:r>
        <w:rPr>
          <w:rFonts w:ascii="Times New Roman" w:hAnsi="Times New Roman" w:eastAsia="Times New Roman" w:cs="Times New Roman"/>
          <w:color w:val="000000"/>
          <w:sz w:val="21"/>
        </w:rPr>
        <w:t xml:space="preserve">20</w:t>
      </w:r>
      <w:r>
        <w:rPr>
          <w:rFonts w:ascii="SimSun" w:hAnsi="SimSun" w:eastAsia="SimSun" w:cs="SimSun"/>
          <w:color w:val="000000"/>
          <w:sz w:val="21"/>
        </w:rPr>
        <w:t xml:space="preserve">人及以上，且营业收入</w:t>
      </w:r>
      <w:r>
        <w:rPr>
          <w:rFonts w:ascii="Times New Roman" w:hAnsi="Times New Roman" w:eastAsia="Times New Roman" w:cs="Times New Roman"/>
          <w:color w:val="000000"/>
          <w:sz w:val="21"/>
        </w:rPr>
        <w:t xml:space="preserve">300</w:t>
      </w:r>
      <w:r>
        <w:rPr>
          <w:rFonts w:ascii="SimSun" w:hAnsi="SimSun" w:eastAsia="SimSun" w:cs="SimSun"/>
          <w:color w:val="000000"/>
          <w:sz w:val="21"/>
        </w:rPr>
        <w:t xml:space="preserve">万元及以上的为小型企业；从业人员</w:t>
      </w:r>
      <w:r>
        <w:rPr>
          <w:rFonts w:ascii="Times New Roman" w:hAnsi="Times New Roman" w:eastAsia="Times New Roman" w:cs="Times New Roman"/>
          <w:color w:val="000000"/>
          <w:sz w:val="21"/>
        </w:rPr>
        <w:t xml:space="preserve">20</w:t>
      </w:r>
      <w:r>
        <w:rPr>
          <w:rFonts w:ascii="SimSun" w:hAnsi="SimSun" w:eastAsia="SimSun" w:cs="SimSun"/>
          <w:color w:val="000000"/>
          <w:sz w:val="21"/>
        </w:rPr>
        <w:t xml:space="preserve">人以下或营业收入</w:t>
      </w:r>
      <w:r>
        <w:rPr>
          <w:rFonts w:ascii="Times New Roman" w:hAnsi="Times New Roman" w:eastAsia="Times New Roman" w:cs="Times New Roman"/>
          <w:color w:val="000000"/>
          <w:sz w:val="21"/>
        </w:rPr>
        <w:t xml:space="preserve">300</w:t>
      </w:r>
      <w:r>
        <w:rPr>
          <w:rFonts w:ascii="SimSun" w:hAnsi="SimSun" w:eastAsia="SimSun" w:cs="SimSun"/>
          <w:color w:val="000000"/>
          <w:sz w:val="21"/>
        </w:rPr>
        <w:t xml:space="preserve">万元以下的为微型企业。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（三）建筑业。营业收入</w:t>
      </w:r>
      <w:r>
        <w:rPr>
          <w:rFonts w:ascii="Times New Roman" w:hAnsi="Times New Roman" w:eastAsia="Times New Roman" w:cs="Times New Roman"/>
          <w:color w:val="000000"/>
          <w:sz w:val="21"/>
        </w:rPr>
        <w:t xml:space="preserve">80000</w:t>
      </w:r>
      <w:r>
        <w:rPr>
          <w:rFonts w:ascii="SimSun" w:hAnsi="SimSun" w:eastAsia="SimSun" w:cs="SimSun"/>
          <w:color w:val="000000"/>
          <w:sz w:val="21"/>
        </w:rPr>
        <w:t xml:space="preserve">万元以下或资产总额</w:t>
      </w:r>
      <w:r>
        <w:rPr>
          <w:rFonts w:ascii="Times New Roman" w:hAnsi="Times New Roman" w:eastAsia="Times New Roman" w:cs="Times New Roman"/>
          <w:color w:val="000000"/>
          <w:sz w:val="21"/>
        </w:rPr>
        <w:t xml:space="preserve">80000</w:t>
      </w:r>
      <w:r>
        <w:rPr>
          <w:rFonts w:ascii="SimSun" w:hAnsi="SimSun" w:eastAsia="SimSun" w:cs="SimSun"/>
          <w:color w:val="000000"/>
          <w:sz w:val="21"/>
        </w:rPr>
        <w:t xml:space="preserve">万元以下的为中小微型企业。其中，营业收入</w:t>
      </w:r>
      <w:r>
        <w:rPr>
          <w:rFonts w:ascii="Times New Roman" w:hAnsi="Times New Roman" w:eastAsia="Times New Roman" w:cs="Times New Roman"/>
          <w:color w:val="000000"/>
          <w:sz w:val="21"/>
        </w:rPr>
        <w:t xml:space="preserve">6000</w:t>
      </w:r>
      <w:r>
        <w:rPr>
          <w:rFonts w:ascii="SimSun" w:hAnsi="SimSun" w:eastAsia="SimSun" w:cs="SimSun"/>
          <w:color w:val="000000"/>
          <w:sz w:val="21"/>
        </w:rPr>
        <w:t xml:space="preserve">万元及以上，且资产总额</w:t>
      </w:r>
      <w:r>
        <w:rPr>
          <w:rFonts w:ascii="Times New Roman" w:hAnsi="Times New Roman" w:eastAsia="Times New Roman" w:cs="Times New Roman"/>
          <w:color w:val="000000"/>
          <w:sz w:val="21"/>
        </w:rPr>
        <w:t xml:space="preserve">5000</w:t>
      </w:r>
      <w:r>
        <w:rPr>
          <w:rFonts w:ascii="SimSun" w:hAnsi="SimSun" w:eastAsia="SimSun" w:cs="SimSun"/>
          <w:color w:val="000000"/>
          <w:sz w:val="21"/>
        </w:rPr>
        <w:t xml:space="preserve">万元及以上的为中型企业；营业收入</w:t>
      </w:r>
      <w:r>
        <w:rPr>
          <w:rFonts w:ascii="Times New Roman" w:hAnsi="Times New Roman" w:eastAsia="Times New Roman" w:cs="Times New Roman"/>
          <w:color w:val="000000"/>
          <w:sz w:val="21"/>
        </w:rPr>
        <w:t xml:space="preserve">300</w:t>
      </w:r>
      <w:r>
        <w:rPr>
          <w:rFonts w:ascii="SimSun" w:hAnsi="SimSun" w:eastAsia="SimSun" w:cs="SimSun"/>
          <w:color w:val="000000"/>
          <w:sz w:val="21"/>
        </w:rPr>
        <w:t xml:space="preserve">万元及以上，且资产总额</w:t>
      </w:r>
      <w:r>
        <w:rPr>
          <w:rFonts w:ascii="Times New Roman" w:hAnsi="Times New Roman" w:eastAsia="Times New Roman" w:cs="Times New Roman"/>
          <w:color w:val="000000"/>
          <w:sz w:val="21"/>
        </w:rPr>
        <w:t xml:space="preserve">300</w:t>
      </w:r>
      <w:r>
        <w:rPr>
          <w:rFonts w:ascii="SimSun" w:hAnsi="SimSun" w:eastAsia="SimSun" w:cs="SimSun"/>
          <w:color w:val="000000"/>
          <w:sz w:val="21"/>
        </w:rPr>
        <w:t xml:space="preserve">万元及以上的为小型企业；营业收入</w:t>
      </w:r>
      <w:r>
        <w:rPr>
          <w:rFonts w:ascii="Times New Roman" w:hAnsi="Times New Roman" w:eastAsia="Times New Roman" w:cs="Times New Roman"/>
          <w:color w:val="000000"/>
          <w:sz w:val="21"/>
        </w:rPr>
        <w:t xml:space="preserve">300</w:t>
      </w:r>
      <w:r>
        <w:rPr>
          <w:rFonts w:ascii="SimSun" w:hAnsi="SimSun" w:eastAsia="SimSun" w:cs="SimSun"/>
          <w:color w:val="000000"/>
          <w:sz w:val="21"/>
        </w:rPr>
        <w:t xml:space="preserve">万元以下或资产总额</w:t>
      </w:r>
      <w:r>
        <w:rPr>
          <w:rFonts w:ascii="Times New Roman" w:hAnsi="Times New Roman" w:eastAsia="Times New Roman" w:cs="Times New Roman"/>
          <w:color w:val="000000"/>
          <w:sz w:val="21"/>
        </w:rPr>
        <w:t xml:space="preserve">300</w:t>
      </w:r>
      <w:r>
        <w:rPr>
          <w:rFonts w:ascii="SimSun" w:hAnsi="SimSun" w:eastAsia="SimSun" w:cs="SimSun"/>
          <w:color w:val="000000"/>
          <w:sz w:val="21"/>
        </w:rPr>
        <w:t xml:space="preserve">万元以下的为微型企业。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（四）批发业。从业人员</w:t>
      </w:r>
      <w:r>
        <w:rPr>
          <w:rFonts w:ascii="Times New Roman" w:hAnsi="Times New Roman" w:eastAsia="Times New Roman" w:cs="Times New Roman"/>
          <w:color w:val="000000"/>
          <w:sz w:val="21"/>
        </w:rPr>
        <w:t xml:space="preserve">200</w:t>
      </w:r>
      <w:r>
        <w:rPr>
          <w:rFonts w:ascii="SimSun" w:hAnsi="SimSun" w:eastAsia="SimSun" w:cs="SimSun"/>
          <w:color w:val="000000"/>
          <w:sz w:val="21"/>
        </w:rPr>
        <w:t xml:space="preserve">人以下或营业收入</w:t>
      </w:r>
      <w:r>
        <w:rPr>
          <w:rFonts w:ascii="Times New Roman" w:hAnsi="Times New Roman" w:eastAsia="Times New Roman" w:cs="Times New Roman"/>
          <w:color w:val="000000"/>
          <w:sz w:val="21"/>
        </w:rPr>
        <w:t xml:space="preserve">40000</w:t>
      </w:r>
      <w:r>
        <w:rPr>
          <w:rFonts w:ascii="SimSun" w:hAnsi="SimSun" w:eastAsia="SimSun" w:cs="SimSun"/>
          <w:color w:val="000000"/>
          <w:sz w:val="21"/>
        </w:rPr>
        <w:t xml:space="preserve">万元以下的为中小微型企业。其中，从业人员</w:t>
      </w:r>
      <w:r>
        <w:rPr>
          <w:rFonts w:ascii="Times New Roman" w:hAnsi="Times New Roman" w:eastAsia="Times New Roman" w:cs="Times New Roman"/>
          <w:color w:val="000000"/>
          <w:sz w:val="21"/>
        </w:rPr>
        <w:t xml:space="preserve">20</w:t>
      </w:r>
      <w:r>
        <w:rPr>
          <w:rFonts w:ascii="SimSun" w:hAnsi="SimSun" w:eastAsia="SimSun" w:cs="SimSun"/>
          <w:color w:val="000000"/>
          <w:sz w:val="21"/>
        </w:rPr>
        <w:t xml:space="preserve">人及以上，且营业收入</w:t>
      </w:r>
      <w:r>
        <w:rPr>
          <w:rFonts w:ascii="Times New Roman" w:hAnsi="Times New Roman" w:eastAsia="Times New Roman" w:cs="Times New Roman"/>
          <w:color w:val="000000"/>
          <w:sz w:val="21"/>
        </w:rPr>
        <w:t xml:space="preserve">5000</w:t>
      </w:r>
      <w:r>
        <w:rPr>
          <w:rFonts w:ascii="SimSun" w:hAnsi="SimSun" w:eastAsia="SimSun" w:cs="SimSun"/>
          <w:color w:val="000000"/>
          <w:sz w:val="21"/>
        </w:rPr>
        <w:t xml:space="preserve">万元及以上的为中型企业；从业人员</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人及以上，且营业收入</w:t>
      </w:r>
      <w:r>
        <w:rPr>
          <w:rFonts w:ascii="Times New Roman" w:hAnsi="Times New Roman" w:eastAsia="Times New Roman" w:cs="Times New Roman"/>
          <w:color w:val="000000"/>
          <w:sz w:val="21"/>
        </w:rPr>
        <w:t xml:space="preserve">1000</w:t>
      </w:r>
      <w:r>
        <w:rPr>
          <w:rFonts w:ascii="SimSun" w:hAnsi="SimSun" w:eastAsia="SimSun" w:cs="SimSun"/>
          <w:color w:val="000000"/>
          <w:sz w:val="21"/>
        </w:rPr>
        <w:t xml:space="preserve">万元及以上的为小型企业；从业人员</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人以下或营业收入</w:t>
      </w:r>
      <w:r>
        <w:rPr>
          <w:rFonts w:ascii="Times New Roman" w:hAnsi="Times New Roman" w:eastAsia="Times New Roman" w:cs="Times New Roman"/>
          <w:color w:val="000000"/>
          <w:sz w:val="21"/>
        </w:rPr>
        <w:t xml:space="preserve">1000</w:t>
      </w:r>
      <w:r>
        <w:rPr>
          <w:rFonts w:ascii="SimSun" w:hAnsi="SimSun" w:eastAsia="SimSun" w:cs="SimSun"/>
          <w:color w:val="000000"/>
          <w:sz w:val="21"/>
        </w:rPr>
        <w:t xml:space="preserve">万元以下的为微型企业。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（五）零售业。从业人员</w:t>
      </w:r>
      <w:r>
        <w:rPr>
          <w:rFonts w:ascii="Times New Roman" w:hAnsi="Times New Roman" w:eastAsia="Times New Roman" w:cs="Times New Roman"/>
          <w:color w:val="000000"/>
          <w:sz w:val="21"/>
        </w:rPr>
        <w:t xml:space="preserve">300</w:t>
      </w:r>
      <w:r>
        <w:rPr>
          <w:rFonts w:ascii="SimSun" w:hAnsi="SimSun" w:eastAsia="SimSun" w:cs="SimSun"/>
          <w:color w:val="000000"/>
          <w:sz w:val="21"/>
        </w:rPr>
        <w:t xml:space="preserve">人以下或营业收入</w:t>
      </w:r>
      <w:r>
        <w:rPr>
          <w:rFonts w:ascii="Times New Roman" w:hAnsi="Times New Roman" w:eastAsia="Times New Roman" w:cs="Times New Roman"/>
          <w:color w:val="000000"/>
          <w:sz w:val="21"/>
        </w:rPr>
        <w:t xml:space="preserve">20000</w:t>
      </w:r>
      <w:r>
        <w:rPr>
          <w:rFonts w:ascii="SimSun" w:hAnsi="SimSun" w:eastAsia="SimSun" w:cs="SimSun"/>
          <w:color w:val="000000"/>
          <w:sz w:val="21"/>
        </w:rPr>
        <w:t xml:space="preserve">万元以下的为中小微型企业。其中，从业人员</w:t>
      </w:r>
      <w:r>
        <w:rPr>
          <w:rFonts w:ascii="Times New Roman" w:hAnsi="Times New Roman" w:eastAsia="Times New Roman" w:cs="Times New Roman"/>
          <w:color w:val="000000"/>
          <w:sz w:val="21"/>
        </w:rPr>
        <w:t xml:space="preserve">50</w:t>
      </w:r>
      <w:r>
        <w:rPr>
          <w:rFonts w:ascii="SimSun" w:hAnsi="SimSun" w:eastAsia="SimSun" w:cs="SimSun"/>
          <w:color w:val="000000"/>
          <w:sz w:val="21"/>
        </w:rPr>
        <w:t xml:space="preserve">人及以上，且营业收入</w:t>
      </w:r>
      <w:r>
        <w:rPr>
          <w:rFonts w:ascii="Times New Roman" w:hAnsi="Times New Roman" w:eastAsia="Times New Roman" w:cs="Times New Roman"/>
          <w:color w:val="000000"/>
          <w:sz w:val="21"/>
        </w:rPr>
        <w:t xml:space="preserve">500</w:t>
      </w:r>
      <w:r>
        <w:rPr>
          <w:rFonts w:ascii="SimSun" w:hAnsi="SimSun" w:eastAsia="SimSun" w:cs="SimSun"/>
          <w:color w:val="000000"/>
          <w:sz w:val="21"/>
        </w:rPr>
        <w:t xml:space="preserve">万元及以上的为中型企业；从业人员</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人及以上，且营业收入</w:t>
      </w:r>
      <w:r>
        <w:rPr>
          <w:rFonts w:ascii="Times New Roman" w:hAnsi="Times New Roman" w:eastAsia="Times New Roman" w:cs="Times New Roman"/>
          <w:color w:val="000000"/>
          <w:sz w:val="21"/>
        </w:rPr>
        <w:t xml:space="preserve">100</w:t>
      </w:r>
      <w:r>
        <w:rPr>
          <w:rFonts w:ascii="SimSun" w:hAnsi="SimSun" w:eastAsia="SimSun" w:cs="SimSun"/>
          <w:color w:val="000000"/>
          <w:sz w:val="21"/>
        </w:rPr>
        <w:t xml:space="preserve">万元及以上的为小型企业；从业人员</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人以下或营业收入</w:t>
      </w:r>
      <w:r>
        <w:rPr>
          <w:rFonts w:ascii="Times New Roman" w:hAnsi="Times New Roman" w:eastAsia="Times New Roman" w:cs="Times New Roman"/>
          <w:color w:val="000000"/>
          <w:sz w:val="21"/>
        </w:rPr>
        <w:t xml:space="preserve">100</w:t>
      </w:r>
      <w:r>
        <w:rPr>
          <w:rFonts w:ascii="SimSun" w:hAnsi="SimSun" w:eastAsia="SimSun" w:cs="SimSun"/>
          <w:color w:val="000000"/>
          <w:sz w:val="21"/>
        </w:rPr>
        <w:t xml:space="preserve">万元以下的为微型企业。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（六）交通运输业。从业人员</w:t>
      </w:r>
      <w:r>
        <w:rPr>
          <w:rFonts w:ascii="Times New Roman" w:hAnsi="Times New Roman" w:eastAsia="Times New Roman" w:cs="Times New Roman"/>
          <w:color w:val="000000"/>
          <w:sz w:val="21"/>
        </w:rPr>
        <w:t xml:space="preserve">1000</w:t>
      </w:r>
      <w:r>
        <w:rPr>
          <w:rFonts w:ascii="SimSun" w:hAnsi="SimSun" w:eastAsia="SimSun" w:cs="SimSun"/>
          <w:color w:val="000000"/>
          <w:sz w:val="21"/>
        </w:rPr>
        <w:t xml:space="preserve">人以下或营业收入</w:t>
      </w:r>
      <w:r>
        <w:rPr>
          <w:rFonts w:ascii="Times New Roman" w:hAnsi="Times New Roman" w:eastAsia="Times New Roman" w:cs="Times New Roman"/>
          <w:color w:val="000000"/>
          <w:sz w:val="21"/>
        </w:rPr>
        <w:t xml:space="preserve">30000</w:t>
      </w:r>
      <w:r>
        <w:rPr>
          <w:rFonts w:ascii="SimSun" w:hAnsi="SimSun" w:eastAsia="SimSun" w:cs="SimSun"/>
          <w:color w:val="000000"/>
          <w:sz w:val="21"/>
        </w:rPr>
        <w:t xml:space="preserve">万元以下的为中小微型企业。其中，从业人员</w:t>
      </w:r>
      <w:r>
        <w:rPr>
          <w:rFonts w:ascii="Times New Roman" w:hAnsi="Times New Roman" w:eastAsia="Times New Roman" w:cs="Times New Roman"/>
          <w:color w:val="000000"/>
          <w:sz w:val="21"/>
        </w:rPr>
        <w:t xml:space="preserve">300</w:t>
      </w:r>
      <w:r>
        <w:rPr>
          <w:rFonts w:ascii="SimSun" w:hAnsi="SimSun" w:eastAsia="SimSun" w:cs="SimSun"/>
          <w:color w:val="000000"/>
          <w:sz w:val="21"/>
        </w:rPr>
        <w:t xml:space="preserve">人及以上，且营业收入</w:t>
      </w:r>
      <w:r>
        <w:rPr>
          <w:rFonts w:ascii="Times New Roman" w:hAnsi="Times New Roman" w:eastAsia="Times New Roman" w:cs="Times New Roman"/>
          <w:color w:val="000000"/>
          <w:sz w:val="21"/>
        </w:rPr>
        <w:t xml:space="preserve">3000</w:t>
      </w:r>
      <w:r>
        <w:rPr>
          <w:rFonts w:ascii="SimSun" w:hAnsi="SimSun" w:eastAsia="SimSun" w:cs="SimSun"/>
          <w:color w:val="000000"/>
          <w:sz w:val="21"/>
        </w:rPr>
        <w:t xml:space="preserve">万元及以上的为中型企业；从业人员</w:t>
      </w:r>
      <w:r>
        <w:rPr>
          <w:rFonts w:ascii="Times New Roman" w:hAnsi="Times New Roman" w:eastAsia="Times New Roman" w:cs="Times New Roman"/>
          <w:color w:val="000000"/>
          <w:sz w:val="21"/>
        </w:rPr>
        <w:t xml:space="preserve">20</w:t>
      </w:r>
      <w:r>
        <w:rPr>
          <w:rFonts w:ascii="SimSun" w:hAnsi="SimSun" w:eastAsia="SimSun" w:cs="SimSun"/>
          <w:color w:val="000000"/>
          <w:sz w:val="21"/>
        </w:rPr>
        <w:t xml:space="preserve">人及以上，且营业收入</w:t>
      </w:r>
      <w:r>
        <w:rPr>
          <w:rFonts w:ascii="Times New Roman" w:hAnsi="Times New Roman" w:eastAsia="Times New Roman" w:cs="Times New Roman"/>
          <w:color w:val="000000"/>
          <w:sz w:val="21"/>
        </w:rPr>
        <w:t xml:space="preserve">200</w:t>
      </w:r>
      <w:r>
        <w:rPr>
          <w:rFonts w:ascii="SimSun" w:hAnsi="SimSun" w:eastAsia="SimSun" w:cs="SimSun"/>
          <w:color w:val="000000"/>
          <w:sz w:val="21"/>
        </w:rPr>
        <w:t xml:space="preserve">万元及以上的为小型企业；从业人员</w:t>
      </w:r>
      <w:r>
        <w:rPr>
          <w:rFonts w:ascii="Times New Roman" w:hAnsi="Times New Roman" w:eastAsia="Times New Roman" w:cs="Times New Roman"/>
          <w:color w:val="000000"/>
          <w:sz w:val="21"/>
        </w:rPr>
        <w:t xml:space="preserve">20</w:t>
      </w:r>
      <w:r>
        <w:rPr>
          <w:rFonts w:ascii="SimSun" w:hAnsi="SimSun" w:eastAsia="SimSun" w:cs="SimSun"/>
          <w:color w:val="000000"/>
          <w:sz w:val="21"/>
        </w:rPr>
        <w:t xml:space="preserve">人以下或营业收入</w:t>
      </w:r>
      <w:r>
        <w:rPr>
          <w:rFonts w:ascii="Times New Roman" w:hAnsi="Times New Roman" w:eastAsia="Times New Roman" w:cs="Times New Roman"/>
          <w:color w:val="000000"/>
          <w:sz w:val="21"/>
        </w:rPr>
        <w:t xml:space="preserve">200</w:t>
      </w:r>
      <w:r>
        <w:rPr>
          <w:rFonts w:ascii="SimSun" w:hAnsi="SimSun" w:eastAsia="SimSun" w:cs="SimSun"/>
          <w:color w:val="000000"/>
          <w:sz w:val="21"/>
        </w:rPr>
        <w:t xml:space="preserve">万元以下的为微型企业。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（七）仓储业。从业人员</w:t>
      </w:r>
      <w:r>
        <w:rPr>
          <w:rFonts w:ascii="Times New Roman" w:hAnsi="Times New Roman" w:eastAsia="Times New Roman" w:cs="Times New Roman"/>
          <w:color w:val="000000"/>
          <w:sz w:val="21"/>
        </w:rPr>
        <w:t xml:space="preserve">200</w:t>
      </w:r>
      <w:r>
        <w:rPr>
          <w:rFonts w:ascii="SimSun" w:hAnsi="SimSun" w:eastAsia="SimSun" w:cs="SimSun"/>
          <w:color w:val="000000"/>
          <w:sz w:val="21"/>
        </w:rPr>
        <w:t xml:space="preserve">人以下或营业收入</w:t>
      </w:r>
      <w:r>
        <w:rPr>
          <w:rFonts w:ascii="Times New Roman" w:hAnsi="Times New Roman" w:eastAsia="Times New Roman" w:cs="Times New Roman"/>
          <w:color w:val="000000"/>
          <w:sz w:val="21"/>
        </w:rPr>
        <w:t xml:space="preserve">30000</w:t>
      </w:r>
      <w:r>
        <w:rPr>
          <w:rFonts w:ascii="SimSun" w:hAnsi="SimSun" w:eastAsia="SimSun" w:cs="SimSun"/>
          <w:color w:val="000000"/>
          <w:sz w:val="21"/>
        </w:rPr>
        <w:t xml:space="preserve">万元以下的为中小微型企业。其中，从业人员</w:t>
      </w:r>
      <w:r>
        <w:rPr>
          <w:rFonts w:ascii="Times New Roman" w:hAnsi="Times New Roman" w:eastAsia="Times New Roman" w:cs="Times New Roman"/>
          <w:color w:val="000000"/>
          <w:sz w:val="21"/>
        </w:rPr>
        <w:t xml:space="preserve">100</w:t>
      </w:r>
      <w:r>
        <w:rPr>
          <w:rFonts w:ascii="SimSun" w:hAnsi="SimSun" w:eastAsia="SimSun" w:cs="SimSun"/>
          <w:color w:val="000000"/>
          <w:sz w:val="21"/>
        </w:rPr>
        <w:t xml:space="preserve">人及以上，且营业收入</w:t>
      </w:r>
      <w:r>
        <w:rPr>
          <w:rFonts w:ascii="Times New Roman" w:hAnsi="Times New Roman" w:eastAsia="Times New Roman" w:cs="Times New Roman"/>
          <w:color w:val="000000"/>
          <w:sz w:val="21"/>
        </w:rPr>
        <w:t xml:space="preserve">1000</w:t>
      </w:r>
      <w:r>
        <w:rPr>
          <w:rFonts w:ascii="SimSun" w:hAnsi="SimSun" w:eastAsia="SimSun" w:cs="SimSun"/>
          <w:color w:val="000000"/>
          <w:sz w:val="21"/>
        </w:rPr>
        <w:t xml:space="preserve">万元及以上的为中型企业；从业人员</w:t>
      </w:r>
      <w:r>
        <w:rPr>
          <w:rFonts w:ascii="Times New Roman" w:hAnsi="Times New Roman" w:eastAsia="Times New Roman" w:cs="Times New Roman"/>
          <w:color w:val="000000"/>
          <w:sz w:val="21"/>
        </w:rPr>
        <w:t xml:space="preserve">20</w:t>
      </w:r>
      <w:r>
        <w:rPr>
          <w:rFonts w:ascii="SimSun" w:hAnsi="SimSun" w:eastAsia="SimSun" w:cs="SimSun"/>
          <w:color w:val="000000"/>
          <w:sz w:val="21"/>
        </w:rPr>
        <w:t xml:space="preserve">人及以上，且营业收入</w:t>
      </w:r>
      <w:r>
        <w:rPr>
          <w:rFonts w:ascii="Times New Roman" w:hAnsi="Times New Roman" w:eastAsia="Times New Roman" w:cs="Times New Roman"/>
          <w:color w:val="000000"/>
          <w:sz w:val="21"/>
        </w:rPr>
        <w:t xml:space="preserve">100</w:t>
      </w:r>
      <w:r>
        <w:rPr>
          <w:rFonts w:ascii="SimSun" w:hAnsi="SimSun" w:eastAsia="SimSun" w:cs="SimSun"/>
          <w:color w:val="000000"/>
          <w:sz w:val="21"/>
        </w:rPr>
        <w:t xml:space="preserve">万元及以上的为小型企业；从业人员</w:t>
      </w:r>
      <w:r>
        <w:rPr>
          <w:rFonts w:ascii="Times New Roman" w:hAnsi="Times New Roman" w:eastAsia="Times New Roman" w:cs="Times New Roman"/>
          <w:color w:val="000000"/>
          <w:sz w:val="21"/>
        </w:rPr>
        <w:t xml:space="preserve">20</w:t>
      </w:r>
      <w:r>
        <w:rPr>
          <w:rFonts w:ascii="SimSun" w:hAnsi="SimSun" w:eastAsia="SimSun" w:cs="SimSun"/>
          <w:color w:val="000000"/>
          <w:sz w:val="21"/>
        </w:rPr>
        <w:t xml:space="preserve">人以下或营业收入</w:t>
      </w:r>
      <w:r>
        <w:rPr>
          <w:rFonts w:ascii="Times New Roman" w:hAnsi="Times New Roman" w:eastAsia="Times New Roman" w:cs="Times New Roman"/>
          <w:color w:val="000000"/>
          <w:sz w:val="21"/>
        </w:rPr>
        <w:t xml:space="preserve">100</w:t>
      </w:r>
      <w:r>
        <w:rPr>
          <w:rFonts w:ascii="SimSun" w:hAnsi="SimSun" w:eastAsia="SimSun" w:cs="SimSun"/>
          <w:color w:val="000000"/>
          <w:sz w:val="21"/>
        </w:rPr>
        <w:t xml:space="preserve">万元以下的为微型企业。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（八）邮政业。从业人员</w:t>
      </w:r>
      <w:r>
        <w:rPr>
          <w:rFonts w:ascii="Times New Roman" w:hAnsi="Times New Roman" w:eastAsia="Times New Roman" w:cs="Times New Roman"/>
          <w:color w:val="000000"/>
          <w:sz w:val="21"/>
        </w:rPr>
        <w:t xml:space="preserve">1000</w:t>
      </w:r>
      <w:r>
        <w:rPr>
          <w:rFonts w:ascii="SimSun" w:hAnsi="SimSun" w:eastAsia="SimSun" w:cs="SimSun"/>
          <w:color w:val="000000"/>
          <w:sz w:val="21"/>
        </w:rPr>
        <w:t xml:space="preserve">人以下或营业收入</w:t>
      </w:r>
      <w:r>
        <w:rPr>
          <w:rFonts w:ascii="Times New Roman" w:hAnsi="Times New Roman" w:eastAsia="Times New Roman" w:cs="Times New Roman"/>
          <w:color w:val="000000"/>
          <w:sz w:val="21"/>
        </w:rPr>
        <w:t xml:space="preserve">30000</w:t>
      </w:r>
      <w:r>
        <w:rPr>
          <w:rFonts w:ascii="SimSun" w:hAnsi="SimSun" w:eastAsia="SimSun" w:cs="SimSun"/>
          <w:color w:val="000000"/>
          <w:sz w:val="21"/>
        </w:rPr>
        <w:t xml:space="preserve">万元以下的为中小微型企业。其中，从业人员</w:t>
      </w:r>
      <w:r>
        <w:rPr>
          <w:rFonts w:ascii="Times New Roman" w:hAnsi="Times New Roman" w:eastAsia="Times New Roman" w:cs="Times New Roman"/>
          <w:color w:val="000000"/>
          <w:sz w:val="21"/>
        </w:rPr>
        <w:t xml:space="preserve">300</w:t>
      </w:r>
      <w:r>
        <w:rPr>
          <w:rFonts w:ascii="SimSun" w:hAnsi="SimSun" w:eastAsia="SimSun" w:cs="SimSun"/>
          <w:color w:val="000000"/>
          <w:sz w:val="21"/>
        </w:rPr>
        <w:t xml:space="preserve">人及以上，且营业收入</w:t>
      </w:r>
      <w:r>
        <w:rPr>
          <w:rFonts w:ascii="Times New Roman" w:hAnsi="Times New Roman" w:eastAsia="Times New Roman" w:cs="Times New Roman"/>
          <w:color w:val="000000"/>
          <w:sz w:val="21"/>
        </w:rPr>
        <w:t xml:space="preserve">2000</w:t>
      </w:r>
      <w:r>
        <w:rPr>
          <w:rFonts w:ascii="SimSun" w:hAnsi="SimSun" w:eastAsia="SimSun" w:cs="SimSun"/>
          <w:color w:val="000000"/>
          <w:sz w:val="21"/>
        </w:rPr>
        <w:t xml:space="preserve">万元及以上的为中型企业；从业人员</w:t>
      </w:r>
      <w:r>
        <w:rPr>
          <w:rFonts w:ascii="Times New Roman" w:hAnsi="Times New Roman" w:eastAsia="Times New Roman" w:cs="Times New Roman"/>
          <w:color w:val="000000"/>
          <w:sz w:val="21"/>
        </w:rPr>
        <w:t xml:space="preserve">20</w:t>
      </w:r>
      <w:r>
        <w:rPr>
          <w:rFonts w:ascii="SimSun" w:hAnsi="SimSun" w:eastAsia="SimSun" w:cs="SimSun"/>
          <w:color w:val="000000"/>
          <w:sz w:val="21"/>
        </w:rPr>
        <w:t xml:space="preserve">人及以上，且营业收入</w:t>
      </w:r>
      <w:r>
        <w:rPr>
          <w:rFonts w:ascii="Times New Roman" w:hAnsi="Times New Roman" w:eastAsia="Times New Roman" w:cs="Times New Roman"/>
          <w:color w:val="000000"/>
          <w:sz w:val="21"/>
        </w:rPr>
        <w:t xml:space="preserve">100</w:t>
      </w:r>
      <w:r>
        <w:rPr>
          <w:rFonts w:ascii="SimSun" w:hAnsi="SimSun" w:eastAsia="SimSun" w:cs="SimSun"/>
          <w:color w:val="000000"/>
          <w:sz w:val="21"/>
        </w:rPr>
        <w:t xml:space="preserve">万元及以上的为小型企业；从业人员</w:t>
      </w:r>
      <w:r>
        <w:rPr>
          <w:rFonts w:ascii="Times New Roman" w:hAnsi="Times New Roman" w:eastAsia="Times New Roman" w:cs="Times New Roman"/>
          <w:color w:val="000000"/>
          <w:sz w:val="21"/>
        </w:rPr>
        <w:t xml:space="preserve">20</w:t>
      </w:r>
      <w:r>
        <w:rPr>
          <w:rFonts w:ascii="SimSun" w:hAnsi="SimSun" w:eastAsia="SimSun" w:cs="SimSun"/>
          <w:color w:val="000000"/>
          <w:sz w:val="21"/>
        </w:rPr>
        <w:t xml:space="preserve">人以下或营业收入</w:t>
      </w:r>
      <w:r>
        <w:rPr>
          <w:rFonts w:ascii="Times New Roman" w:hAnsi="Times New Roman" w:eastAsia="Times New Roman" w:cs="Times New Roman"/>
          <w:color w:val="000000"/>
          <w:sz w:val="21"/>
        </w:rPr>
        <w:t xml:space="preserve">100</w:t>
      </w:r>
      <w:r>
        <w:rPr>
          <w:rFonts w:ascii="SimSun" w:hAnsi="SimSun" w:eastAsia="SimSun" w:cs="SimSun"/>
          <w:color w:val="000000"/>
          <w:sz w:val="21"/>
        </w:rPr>
        <w:t xml:space="preserve">万元以下的为微型企业。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（九）住宿业。从业人员</w:t>
      </w:r>
      <w:r>
        <w:rPr>
          <w:rFonts w:ascii="Times New Roman" w:hAnsi="Times New Roman" w:eastAsia="Times New Roman" w:cs="Times New Roman"/>
          <w:color w:val="000000"/>
          <w:sz w:val="21"/>
        </w:rPr>
        <w:t xml:space="preserve">300</w:t>
      </w:r>
      <w:r>
        <w:rPr>
          <w:rFonts w:ascii="SimSun" w:hAnsi="SimSun" w:eastAsia="SimSun" w:cs="SimSun"/>
          <w:color w:val="000000"/>
          <w:sz w:val="21"/>
        </w:rPr>
        <w:t xml:space="preserve">人以下或营业收入</w:t>
      </w:r>
      <w:r>
        <w:rPr>
          <w:rFonts w:ascii="Times New Roman" w:hAnsi="Times New Roman" w:eastAsia="Times New Roman" w:cs="Times New Roman"/>
          <w:color w:val="000000"/>
          <w:sz w:val="21"/>
        </w:rPr>
        <w:t xml:space="preserve">10000</w:t>
      </w:r>
      <w:r>
        <w:rPr>
          <w:rFonts w:ascii="SimSun" w:hAnsi="SimSun" w:eastAsia="SimSun" w:cs="SimSun"/>
          <w:color w:val="000000"/>
          <w:sz w:val="21"/>
        </w:rPr>
        <w:t xml:space="preserve">万元以下的为中小微型企业。其中，从业人员</w:t>
      </w:r>
      <w:r>
        <w:rPr>
          <w:rFonts w:ascii="Times New Roman" w:hAnsi="Times New Roman" w:eastAsia="Times New Roman" w:cs="Times New Roman"/>
          <w:color w:val="000000"/>
          <w:sz w:val="21"/>
        </w:rPr>
        <w:t xml:space="preserve">100</w:t>
      </w:r>
      <w:r>
        <w:rPr>
          <w:rFonts w:ascii="SimSun" w:hAnsi="SimSun" w:eastAsia="SimSun" w:cs="SimSun"/>
          <w:color w:val="000000"/>
          <w:sz w:val="21"/>
        </w:rPr>
        <w:t xml:space="preserve">人及以上，且营业收入</w:t>
      </w:r>
      <w:r>
        <w:rPr>
          <w:rFonts w:ascii="Times New Roman" w:hAnsi="Times New Roman" w:eastAsia="Times New Roman" w:cs="Times New Roman"/>
          <w:color w:val="000000"/>
          <w:sz w:val="21"/>
        </w:rPr>
        <w:t xml:space="preserve">2000</w:t>
      </w:r>
      <w:r>
        <w:rPr>
          <w:rFonts w:ascii="SimSun" w:hAnsi="SimSun" w:eastAsia="SimSun" w:cs="SimSun"/>
          <w:color w:val="000000"/>
          <w:sz w:val="21"/>
        </w:rPr>
        <w:t xml:space="preserve">万元及以上的为中型企业；从业人员</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人及以上，且营业收入</w:t>
      </w:r>
      <w:r>
        <w:rPr>
          <w:rFonts w:ascii="Times New Roman" w:hAnsi="Times New Roman" w:eastAsia="Times New Roman" w:cs="Times New Roman"/>
          <w:color w:val="000000"/>
          <w:sz w:val="21"/>
        </w:rPr>
        <w:t xml:space="preserve">100</w:t>
      </w:r>
      <w:r>
        <w:rPr>
          <w:rFonts w:ascii="SimSun" w:hAnsi="SimSun" w:eastAsia="SimSun" w:cs="SimSun"/>
          <w:color w:val="000000"/>
          <w:sz w:val="21"/>
        </w:rPr>
        <w:t xml:space="preserve">万元及以上的为小型企业；从业人员</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人以下或营业收入</w:t>
      </w:r>
      <w:r>
        <w:rPr>
          <w:rFonts w:ascii="Times New Roman" w:hAnsi="Times New Roman" w:eastAsia="Times New Roman" w:cs="Times New Roman"/>
          <w:color w:val="000000"/>
          <w:sz w:val="21"/>
        </w:rPr>
        <w:t xml:space="preserve">100</w:t>
      </w:r>
      <w:r>
        <w:rPr>
          <w:rFonts w:ascii="SimSun" w:hAnsi="SimSun" w:eastAsia="SimSun" w:cs="SimSun"/>
          <w:color w:val="000000"/>
          <w:sz w:val="21"/>
        </w:rPr>
        <w:t xml:space="preserve">万元以下的为微型企业。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（十）餐饮业。从业人员</w:t>
      </w:r>
      <w:r>
        <w:rPr>
          <w:rFonts w:ascii="Times New Roman" w:hAnsi="Times New Roman" w:eastAsia="Times New Roman" w:cs="Times New Roman"/>
          <w:color w:val="000000"/>
          <w:sz w:val="21"/>
        </w:rPr>
        <w:t xml:space="preserve">300</w:t>
      </w:r>
      <w:r>
        <w:rPr>
          <w:rFonts w:ascii="SimSun" w:hAnsi="SimSun" w:eastAsia="SimSun" w:cs="SimSun"/>
          <w:color w:val="000000"/>
          <w:sz w:val="21"/>
        </w:rPr>
        <w:t xml:space="preserve">人以下或营业收入</w:t>
      </w:r>
      <w:r>
        <w:rPr>
          <w:rFonts w:ascii="Times New Roman" w:hAnsi="Times New Roman" w:eastAsia="Times New Roman" w:cs="Times New Roman"/>
          <w:color w:val="000000"/>
          <w:sz w:val="21"/>
        </w:rPr>
        <w:t xml:space="preserve">10000</w:t>
      </w:r>
      <w:r>
        <w:rPr>
          <w:rFonts w:ascii="SimSun" w:hAnsi="SimSun" w:eastAsia="SimSun" w:cs="SimSun"/>
          <w:color w:val="000000"/>
          <w:sz w:val="21"/>
        </w:rPr>
        <w:t xml:space="preserve">万元以下的为中小微型企业。其中，从业人员</w:t>
      </w:r>
      <w:r>
        <w:rPr>
          <w:rFonts w:ascii="Times New Roman" w:hAnsi="Times New Roman" w:eastAsia="Times New Roman" w:cs="Times New Roman"/>
          <w:color w:val="000000"/>
          <w:sz w:val="21"/>
        </w:rPr>
        <w:t xml:space="preserve">100</w:t>
      </w:r>
      <w:r>
        <w:rPr>
          <w:rFonts w:ascii="SimSun" w:hAnsi="SimSun" w:eastAsia="SimSun" w:cs="SimSun"/>
          <w:color w:val="000000"/>
          <w:sz w:val="21"/>
        </w:rPr>
        <w:t xml:space="preserve">人及以上，且营业收入</w:t>
      </w:r>
      <w:r>
        <w:rPr>
          <w:rFonts w:ascii="Times New Roman" w:hAnsi="Times New Roman" w:eastAsia="Times New Roman" w:cs="Times New Roman"/>
          <w:color w:val="000000"/>
          <w:sz w:val="21"/>
        </w:rPr>
        <w:t xml:space="preserve">2000</w:t>
      </w:r>
      <w:r>
        <w:rPr>
          <w:rFonts w:ascii="SimSun" w:hAnsi="SimSun" w:eastAsia="SimSun" w:cs="SimSun"/>
          <w:color w:val="000000"/>
          <w:sz w:val="21"/>
        </w:rPr>
        <w:t xml:space="preserve">万元及以上的为中型企业；从业人员</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人及以上，且营业收入</w:t>
      </w:r>
      <w:r>
        <w:rPr>
          <w:rFonts w:ascii="Times New Roman" w:hAnsi="Times New Roman" w:eastAsia="Times New Roman" w:cs="Times New Roman"/>
          <w:color w:val="000000"/>
          <w:sz w:val="21"/>
        </w:rPr>
        <w:t xml:space="preserve">100</w:t>
      </w:r>
      <w:r>
        <w:rPr>
          <w:rFonts w:ascii="SimSun" w:hAnsi="SimSun" w:eastAsia="SimSun" w:cs="SimSun"/>
          <w:color w:val="000000"/>
          <w:sz w:val="21"/>
        </w:rPr>
        <w:t xml:space="preserve">万元及以上的为小型企业；从业人员</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人以下或营业收入</w:t>
      </w:r>
      <w:r>
        <w:rPr>
          <w:rFonts w:ascii="Times New Roman" w:hAnsi="Times New Roman" w:eastAsia="Times New Roman" w:cs="Times New Roman"/>
          <w:color w:val="000000"/>
          <w:sz w:val="21"/>
        </w:rPr>
        <w:t xml:space="preserve">100</w:t>
      </w:r>
      <w:r>
        <w:rPr>
          <w:rFonts w:ascii="SimSun" w:hAnsi="SimSun" w:eastAsia="SimSun" w:cs="SimSun"/>
          <w:color w:val="000000"/>
          <w:sz w:val="21"/>
        </w:rPr>
        <w:t xml:space="preserve">万元以下的为微型企业。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（十一）信息传输业。从业人员</w:t>
      </w:r>
      <w:r>
        <w:rPr>
          <w:rFonts w:ascii="Times New Roman" w:hAnsi="Times New Roman" w:eastAsia="Times New Roman" w:cs="Times New Roman"/>
          <w:color w:val="000000"/>
          <w:sz w:val="21"/>
        </w:rPr>
        <w:t xml:space="preserve">2000</w:t>
      </w:r>
      <w:r>
        <w:rPr>
          <w:rFonts w:ascii="SimSun" w:hAnsi="SimSun" w:eastAsia="SimSun" w:cs="SimSun"/>
          <w:color w:val="000000"/>
          <w:sz w:val="21"/>
        </w:rPr>
        <w:t xml:space="preserve">人以下或营业收入</w:t>
      </w:r>
      <w:r>
        <w:rPr>
          <w:rFonts w:ascii="Times New Roman" w:hAnsi="Times New Roman" w:eastAsia="Times New Roman" w:cs="Times New Roman"/>
          <w:color w:val="000000"/>
          <w:sz w:val="21"/>
        </w:rPr>
        <w:t xml:space="preserve">100000</w:t>
      </w:r>
      <w:r>
        <w:rPr>
          <w:rFonts w:ascii="SimSun" w:hAnsi="SimSun" w:eastAsia="SimSun" w:cs="SimSun"/>
          <w:color w:val="000000"/>
          <w:sz w:val="21"/>
        </w:rPr>
        <w:t xml:space="preserve">万元以下的为中小微型企业。其中，从业人员</w:t>
      </w:r>
      <w:r>
        <w:rPr>
          <w:rFonts w:ascii="Times New Roman" w:hAnsi="Times New Roman" w:eastAsia="Times New Roman" w:cs="Times New Roman"/>
          <w:color w:val="000000"/>
          <w:sz w:val="21"/>
        </w:rPr>
        <w:t xml:space="preserve">100</w:t>
      </w:r>
      <w:r>
        <w:rPr>
          <w:rFonts w:ascii="SimSun" w:hAnsi="SimSun" w:eastAsia="SimSun" w:cs="SimSun"/>
          <w:color w:val="000000"/>
          <w:sz w:val="21"/>
        </w:rPr>
        <w:t xml:space="preserve">人及以上，且营业收入</w:t>
      </w:r>
      <w:r>
        <w:rPr>
          <w:rFonts w:ascii="Times New Roman" w:hAnsi="Times New Roman" w:eastAsia="Times New Roman" w:cs="Times New Roman"/>
          <w:color w:val="000000"/>
          <w:sz w:val="21"/>
        </w:rPr>
        <w:t xml:space="preserve">1000</w:t>
      </w:r>
      <w:r>
        <w:rPr>
          <w:rFonts w:ascii="SimSun" w:hAnsi="SimSun" w:eastAsia="SimSun" w:cs="SimSun"/>
          <w:color w:val="000000"/>
          <w:sz w:val="21"/>
        </w:rPr>
        <w:t xml:space="preserve">万元及以上的为中型企业；从业人员</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人及以上，且营业收入</w:t>
      </w:r>
      <w:r>
        <w:rPr>
          <w:rFonts w:ascii="Times New Roman" w:hAnsi="Times New Roman" w:eastAsia="Times New Roman" w:cs="Times New Roman"/>
          <w:color w:val="000000"/>
          <w:sz w:val="21"/>
        </w:rPr>
        <w:t xml:space="preserve">100</w:t>
      </w:r>
      <w:r>
        <w:rPr>
          <w:rFonts w:ascii="SimSun" w:hAnsi="SimSun" w:eastAsia="SimSun" w:cs="SimSun"/>
          <w:color w:val="000000"/>
          <w:sz w:val="21"/>
        </w:rPr>
        <w:t xml:space="preserve">万元及以上的为小型企业；从业人员</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人以下或营业收入</w:t>
      </w:r>
      <w:r>
        <w:rPr>
          <w:rFonts w:ascii="Times New Roman" w:hAnsi="Times New Roman" w:eastAsia="Times New Roman" w:cs="Times New Roman"/>
          <w:color w:val="000000"/>
          <w:sz w:val="21"/>
        </w:rPr>
        <w:t xml:space="preserve">100</w:t>
      </w:r>
      <w:r>
        <w:rPr>
          <w:rFonts w:ascii="SimSun" w:hAnsi="SimSun" w:eastAsia="SimSun" w:cs="SimSun"/>
          <w:color w:val="000000"/>
          <w:sz w:val="21"/>
        </w:rPr>
        <w:t xml:space="preserve">万元以下的为微型企业。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（十二）软件和信息技术服务业。从业人员</w:t>
      </w:r>
      <w:r>
        <w:rPr>
          <w:rFonts w:ascii="Times New Roman" w:hAnsi="Times New Roman" w:eastAsia="Times New Roman" w:cs="Times New Roman"/>
          <w:color w:val="000000"/>
          <w:sz w:val="21"/>
        </w:rPr>
        <w:t xml:space="preserve">300</w:t>
      </w:r>
      <w:r>
        <w:rPr>
          <w:rFonts w:ascii="SimSun" w:hAnsi="SimSun" w:eastAsia="SimSun" w:cs="SimSun"/>
          <w:color w:val="000000"/>
          <w:sz w:val="21"/>
        </w:rPr>
        <w:t xml:space="preserve">人以下或营业收入</w:t>
      </w:r>
      <w:r>
        <w:rPr>
          <w:rFonts w:ascii="Times New Roman" w:hAnsi="Times New Roman" w:eastAsia="Times New Roman" w:cs="Times New Roman"/>
          <w:color w:val="000000"/>
          <w:sz w:val="21"/>
        </w:rPr>
        <w:t xml:space="preserve">10000</w:t>
      </w:r>
      <w:r>
        <w:rPr>
          <w:rFonts w:ascii="SimSun" w:hAnsi="SimSun" w:eastAsia="SimSun" w:cs="SimSun"/>
          <w:color w:val="000000"/>
          <w:sz w:val="21"/>
        </w:rPr>
        <w:t xml:space="preserve">万元以下的为中小微型企业。其中，从业人员</w:t>
      </w:r>
      <w:r>
        <w:rPr>
          <w:rFonts w:ascii="Times New Roman" w:hAnsi="Times New Roman" w:eastAsia="Times New Roman" w:cs="Times New Roman"/>
          <w:color w:val="000000"/>
          <w:sz w:val="21"/>
        </w:rPr>
        <w:t xml:space="preserve">100</w:t>
      </w:r>
      <w:r>
        <w:rPr>
          <w:rFonts w:ascii="SimSun" w:hAnsi="SimSun" w:eastAsia="SimSun" w:cs="SimSun"/>
          <w:color w:val="000000"/>
          <w:sz w:val="21"/>
        </w:rPr>
        <w:t xml:space="preserve">人及以上，且营业收入</w:t>
      </w:r>
      <w:r>
        <w:rPr>
          <w:rFonts w:ascii="Times New Roman" w:hAnsi="Times New Roman" w:eastAsia="Times New Roman" w:cs="Times New Roman"/>
          <w:color w:val="000000"/>
          <w:sz w:val="21"/>
        </w:rPr>
        <w:t xml:space="preserve">1000</w:t>
      </w:r>
      <w:r>
        <w:rPr>
          <w:rFonts w:ascii="SimSun" w:hAnsi="SimSun" w:eastAsia="SimSun" w:cs="SimSun"/>
          <w:color w:val="000000"/>
          <w:sz w:val="21"/>
        </w:rPr>
        <w:t xml:space="preserve">万元及以上的为中型企业；从业人员</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人及以上，且营业收入</w:t>
      </w:r>
      <w:r>
        <w:rPr>
          <w:rFonts w:ascii="Times New Roman" w:hAnsi="Times New Roman" w:eastAsia="Times New Roman" w:cs="Times New Roman"/>
          <w:color w:val="000000"/>
          <w:sz w:val="21"/>
        </w:rPr>
        <w:t xml:space="preserve">50</w:t>
      </w:r>
      <w:r>
        <w:rPr>
          <w:rFonts w:ascii="SimSun" w:hAnsi="SimSun" w:eastAsia="SimSun" w:cs="SimSun"/>
          <w:color w:val="000000"/>
          <w:sz w:val="21"/>
        </w:rPr>
        <w:t xml:space="preserve">万元及以上的为小型企业；从业人员</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人以下或营业收入</w:t>
      </w:r>
      <w:r>
        <w:rPr>
          <w:rFonts w:ascii="Times New Roman" w:hAnsi="Times New Roman" w:eastAsia="Times New Roman" w:cs="Times New Roman"/>
          <w:color w:val="000000"/>
          <w:sz w:val="21"/>
        </w:rPr>
        <w:t xml:space="preserve">50</w:t>
      </w:r>
      <w:r>
        <w:rPr>
          <w:rFonts w:ascii="SimSun" w:hAnsi="SimSun" w:eastAsia="SimSun" w:cs="SimSun"/>
          <w:color w:val="000000"/>
          <w:sz w:val="21"/>
        </w:rPr>
        <w:t xml:space="preserve">万元以下的为微型企业。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（十三）房地产开发经营。营业收入</w:t>
      </w:r>
      <w:r>
        <w:rPr>
          <w:rFonts w:ascii="Times New Roman" w:hAnsi="Times New Roman" w:eastAsia="Times New Roman" w:cs="Times New Roman"/>
          <w:color w:val="000000"/>
          <w:sz w:val="21"/>
        </w:rPr>
        <w:t xml:space="preserve">200000</w:t>
      </w:r>
      <w:r>
        <w:rPr>
          <w:rFonts w:ascii="SimSun" w:hAnsi="SimSun" w:eastAsia="SimSun" w:cs="SimSun"/>
          <w:color w:val="000000"/>
          <w:sz w:val="21"/>
        </w:rPr>
        <w:t xml:space="preserve">万元以下或资产总额</w:t>
      </w:r>
      <w:r>
        <w:rPr>
          <w:rFonts w:ascii="Times New Roman" w:hAnsi="Times New Roman" w:eastAsia="Times New Roman" w:cs="Times New Roman"/>
          <w:color w:val="000000"/>
          <w:sz w:val="21"/>
        </w:rPr>
        <w:t xml:space="preserve">10000</w:t>
      </w:r>
      <w:r>
        <w:rPr>
          <w:rFonts w:ascii="SimSun" w:hAnsi="SimSun" w:eastAsia="SimSun" w:cs="SimSun"/>
          <w:color w:val="000000"/>
          <w:sz w:val="21"/>
        </w:rPr>
        <w:t xml:space="preserve">万元以下的为中小微型企业。其中，营业收入</w:t>
      </w:r>
      <w:r>
        <w:rPr>
          <w:rFonts w:ascii="Times New Roman" w:hAnsi="Times New Roman" w:eastAsia="Times New Roman" w:cs="Times New Roman"/>
          <w:color w:val="000000"/>
          <w:sz w:val="21"/>
        </w:rPr>
        <w:t xml:space="preserve">1000</w:t>
      </w:r>
      <w:r>
        <w:rPr>
          <w:rFonts w:ascii="SimSun" w:hAnsi="SimSun" w:eastAsia="SimSun" w:cs="SimSun"/>
          <w:color w:val="000000"/>
          <w:sz w:val="21"/>
        </w:rPr>
        <w:t xml:space="preserve">万元及以上，且资产总额</w:t>
      </w:r>
      <w:r>
        <w:rPr>
          <w:rFonts w:ascii="Times New Roman" w:hAnsi="Times New Roman" w:eastAsia="Times New Roman" w:cs="Times New Roman"/>
          <w:color w:val="000000"/>
          <w:sz w:val="21"/>
        </w:rPr>
        <w:t xml:space="preserve">5000</w:t>
      </w:r>
      <w:r>
        <w:rPr>
          <w:rFonts w:ascii="SimSun" w:hAnsi="SimSun" w:eastAsia="SimSun" w:cs="SimSun"/>
          <w:color w:val="000000"/>
          <w:sz w:val="21"/>
        </w:rPr>
        <w:t xml:space="preserve">万元及以上的为中型企业；营业收入</w:t>
      </w:r>
      <w:r>
        <w:rPr>
          <w:rFonts w:ascii="Times New Roman" w:hAnsi="Times New Roman" w:eastAsia="Times New Roman" w:cs="Times New Roman"/>
          <w:color w:val="000000"/>
          <w:sz w:val="21"/>
        </w:rPr>
        <w:t xml:space="preserve">100</w:t>
      </w:r>
      <w:r>
        <w:rPr>
          <w:rFonts w:ascii="SimSun" w:hAnsi="SimSun" w:eastAsia="SimSun" w:cs="SimSun"/>
          <w:color w:val="000000"/>
          <w:sz w:val="21"/>
        </w:rPr>
        <w:t xml:space="preserve">万元及以上，且资产总额</w:t>
      </w:r>
      <w:r>
        <w:rPr>
          <w:rFonts w:ascii="Times New Roman" w:hAnsi="Times New Roman" w:eastAsia="Times New Roman" w:cs="Times New Roman"/>
          <w:color w:val="000000"/>
          <w:sz w:val="21"/>
        </w:rPr>
        <w:t xml:space="preserve">2000</w:t>
      </w:r>
      <w:r>
        <w:rPr>
          <w:rFonts w:ascii="SimSun" w:hAnsi="SimSun" w:eastAsia="SimSun" w:cs="SimSun"/>
          <w:color w:val="000000"/>
          <w:sz w:val="21"/>
        </w:rPr>
        <w:t xml:space="preserve">万元及以上的为小型企业；营业收入</w:t>
      </w:r>
      <w:r>
        <w:rPr>
          <w:rFonts w:ascii="Times New Roman" w:hAnsi="Times New Roman" w:eastAsia="Times New Roman" w:cs="Times New Roman"/>
          <w:color w:val="000000"/>
          <w:sz w:val="21"/>
        </w:rPr>
        <w:t xml:space="preserve">100</w:t>
      </w:r>
      <w:r>
        <w:rPr>
          <w:rFonts w:ascii="SimSun" w:hAnsi="SimSun" w:eastAsia="SimSun" w:cs="SimSun"/>
          <w:color w:val="000000"/>
          <w:sz w:val="21"/>
        </w:rPr>
        <w:t xml:space="preserve">万元以下或资产总额</w:t>
      </w:r>
      <w:r>
        <w:rPr>
          <w:rFonts w:ascii="Times New Roman" w:hAnsi="Times New Roman" w:eastAsia="Times New Roman" w:cs="Times New Roman"/>
          <w:color w:val="000000"/>
          <w:sz w:val="21"/>
        </w:rPr>
        <w:t xml:space="preserve">2000</w:t>
      </w:r>
      <w:r>
        <w:rPr>
          <w:rFonts w:ascii="SimSun" w:hAnsi="SimSun" w:eastAsia="SimSun" w:cs="SimSun"/>
          <w:color w:val="000000"/>
          <w:sz w:val="21"/>
        </w:rPr>
        <w:t xml:space="preserve">万元以下的为微型企业。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（十四）物业管理。从业人员</w:t>
      </w:r>
      <w:r>
        <w:rPr>
          <w:rFonts w:ascii="Times New Roman" w:hAnsi="Times New Roman" w:eastAsia="Times New Roman" w:cs="Times New Roman"/>
          <w:color w:val="000000"/>
          <w:sz w:val="21"/>
        </w:rPr>
        <w:t xml:space="preserve">1000</w:t>
      </w:r>
      <w:r>
        <w:rPr>
          <w:rFonts w:ascii="SimSun" w:hAnsi="SimSun" w:eastAsia="SimSun" w:cs="SimSun"/>
          <w:color w:val="000000"/>
          <w:sz w:val="21"/>
        </w:rPr>
        <w:t xml:space="preserve">人以下或营业收入</w:t>
      </w:r>
      <w:r>
        <w:rPr>
          <w:rFonts w:ascii="Times New Roman" w:hAnsi="Times New Roman" w:eastAsia="Times New Roman" w:cs="Times New Roman"/>
          <w:color w:val="000000"/>
          <w:sz w:val="21"/>
        </w:rPr>
        <w:t xml:space="preserve">5000</w:t>
      </w:r>
      <w:r>
        <w:rPr>
          <w:rFonts w:ascii="SimSun" w:hAnsi="SimSun" w:eastAsia="SimSun" w:cs="SimSun"/>
          <w:color w:val="000000"/>
          <w:sz w:val="21"/>
        </w:rPr>
        <w:t xml:space="preserve">万元以下的为中小微型企业。其中，从业人员</w:t>
      </w:r>
      <w:r>
        <w:rPr>
          <w:rFonts w:ascii="Times New Roman" w:hAnsi="Times New Roman" w:eastAsia="Times New Roman" w:cs="Times New Roman"/>
          <w:color w:val="000000"/>
          <w:sz w:val="21"/>
        </w:rPr>
        <w:t xml:space="preserve">300</w:t>
      </w:r>
      <w:r>
        <w:rPr>
          <w:rFonts w:ascii="SimSun" w:hAnsi="SimSun" w:eastAsia="SimSun" w:cs="SimSun"/>
          <w:color w:val="000000"/>
          <w:sz w:val="21"/>
        </w:rPr>
        <w:t xml:space="preserve">人及以上，且营业收入</w:t>
      </w:r>
      <w:r>
        <w:rPr>
          <w:rFonts w:ascii="Times New Roman" w:hAnsi="Times New Roman" w:eastAsia="Times New Roman" w:cs="Times New Roman"/>
          <w:color w:val="000000"/>
          <w:sz w:val="21"/>
        </w:rPr>
        <w:t xml:space="preserve">1000</w:t>
      </w:r>
      <w:r>
        <w:rPr>
          <w:rFonts w:ascii="SimSun" w:hAnsi="SimSun" w:eastAsia="SimSun" w:cs="SimSun"/>
          <w:color w:val="000000"/>
          <w:sz w:val="21"/>
        </w:rPr>
        <w:t xml:space="preserve">万元及以上的为中型企业；从业人员</w:t>
      </w:r>
      <w:r>
        <w:rPr>
          <w:rFonts w:ascii="Times New Roman" w:hAnsi="Times New Roman" w:eastAsia="Times New Roman" w:cs="Times New Roman"/>
          <w:color w:val="000000"/>
          <w:sz w:val="21"/>
        </w:rPr>
        <w:t xml:space="preserve">100</w:t>
      </w:r>
      <w:r>
        <w:rPr>
          <w:rFonts w:ascii="SimSun" w:hAnsi="SimSun" w:eastAsia="SimSun" w:cs="SimSun"/>
          <w:color w:val="000000"/>
          <w:sz w:val="21"/>
        </w:rPr>
        <w:t xml:space="preserve">人及以上，且营业收入</w:t>
      </w:r>
      <w:r>
        <w:rPr>
          <w:rFonts w:ascii="Times New Roman" w:hAnsi="Times New Roman" w:eastAsia="Times New Roman" w:cs="Times New Roman"/>
          <w:color w:val="000000"/>
          <w:sz w:val="21"/>
        </w:rPr>
        <w:t xml:space="preserve">500</w:t>
      </w:r>
      <w:r>
        <w:rPr>
          <w:rFonts w:ascii="SimSun" w:hAnsi="SimSun" w:eastAsia="SimSun" w:cs="SimSun"/>
          <w:color w:val="000000"/>
          <w:sz w:val="21"/>
        </w:rPr>
        <w:t xml:space="preserve">万元及以上的为小型企业；从业人员</w:t>
      </w:r>
      <w:r>
        <w:rPr>
          <w:rFonts w:ascii="Times New Roman" w:hAnsi="Times New Roman" w:eastAsia="Times New Roman" w:cs="Times New Roman"/>
          <w:color w:val="000000"/>
          <w:sz w:val="21"/>
        </w:rPr>
        <w:t xml:space="preserve">100</w:t>
      </w:r>
      <w:r>
        <w:rPr>
          <w:rFonts w:ascii="SimSun" w:hAnsi="SimSun" w:eastAsia="SimSun" w:cs="SimSun"/>
          <w:color w:val="000000"/>
          <w:sz w:val="21"/>
        </w:rPr>
        <w:t xml:space="preserve">人以下或营业收入</w:t>
      </w:r>
      <w:r>
        <w:rPr>
          <w:rFonts w:ascii="Times New Roman" w:hAnsi="Times New Roman" w:eastAsia="Times New Roman" w:cs="Times New Roman"/>
          <w:color w:val="000000"/>
          <w:sz w:val="21"/>
        </w:rPr>
        <w:t xml:space="preserve">500</w:t>
      </w:r>
      <w:r>
        <w:rPr>
          <w:rFonts w:ascii="SimSun" w:hAnsi="SimSun" w:eastAsia="SimSun" w:cs="SimSun"/>
          <w:color w:val="000000"/>
          <w:sz w:val="21"/>
        </w:rPr>
        <w:t xml:space="preserve">万元以下的为微型企业。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（十五）租赁和商务服务业。从业人员</w:t>
      </w:r>
      <w:r>
        <w:rPr>
          <w:rFonts w:ascii="Times New Roman" w:hAnsi="Times New Roman" w:eastAsia="Times New Roman" w:cs="Times New Roman"/>
          <w:color w:val="000000"/>
          <w:sz w:val="21"/>
        </w:rPr>
        <w:t xml:space="preserve">300</w:t>
      </w:r>
      <w:r>
        <w:rPr>
          <w:rFonts w:ascii="SimSun" w:hAnsi="SimSun" w:eastAsia="SimSun" w:cs="SimSun"/>
          <w:color w:val="000000"/>
          <w:sz w:val="21"/>
        </w:rPr>
        <w:t xml:space="preserve">人以下或资产总额</w:t>
      </w:r>
      <w:r>
        <w:rPr>
          <w:rFonts w:ascii="Times New Roman" w:hAnsi="Times New Roman" w:eastAsia="Times New Roman" w:cs="Times New Roman"/>
          <w:color w:val="000000"/>
          <w:sz w:val="21"/>
        </w:rPr>
        <w:t xml:space="preserve">120000</w:t>
      </w:r>
      <w:r>
        <w:rPr>
          <w:rFonts w:ascii="SimSun" w:hAnsi="SimSun" w:eastAsia="SimSun" w:cs="SimSun"/>
          <w:color w:val="000000"/>
          <w:sz w:val="21"/>
        </w:rPr>
        <w:t xml:space="preserve">万元以下的为中小微型企业。其中，从业人员</w:t>
      </w:r>
      <w:r>
        <w:rPr>
          <w:rFonts w:ascii="Times New Roman" w:hAnsi="Times New Roman" w:eastAsia="Times New Roman" w:cs="Times New Roman"/>
          <w:color w:val="000000"/>
          <w:sz w:val="21"/>
        </w:rPr>
        <w:t xml:space="preserve">100</w:t>
      </w:r>
      <w:r>
        <w:rPr>
          <w:rFonts w:ascii="SimSun" w:hAnsi="SimSun" w:eastAsia="SimSun" w:cs="SimSun"/>
          <w:color w:val="000000"/>
          <w:sz w:val="21"/>
        </w:rPr>
        <w:t xml:space="preserve">人及以上，且资产总额</w:t>
      </w:r>
      <w:r>
        <w:rPr>
          <w:rFonts w:ascii="Times New Roman" w:hAnsi="Times New Roman" w:eastAsia="Times New Roman" w:cs="Times New Roman"/>
          <w:color w:val="000000"/>
          <w:sz w:val="21"/>
        </w:rPr>
        <w:t xml:space="preserve">8000</w:t>
      </w:r>
      <w:r>
        <w:rPr>
          <w:rFonts w:ascii="SimSun" w:hAnsi="SimSun" w:eastAsia="SimSun" w:cs="SimSun"/>
          <w:color w:val="000000"/>
          <w:sz w:val="21"/>
        </w:rPr>
        <w:t xml:space="preserve">万元及以上的为中型企业；从业人员</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人及以上，且资产总额</w:t>
      </w:r>
      <w:r>
        <w:rPr>
          <w:rFonts w:ascii="Times New Roman" w:hAnsi="Times New Roman" w:eastAsia="Times New Roman" w:cs="Times New Roman"/>
          <w:color w:val="000000"/>
          <w:sz w:val="21"/>
        </w:rPr>
        <w:t xml:space="preserve">100</w:t>
      </w:r>
      <w:r>
        <w:rPr>
          <w:rFonts w:ascii="SimSun" w:hAnsi="SimSun" w:eastAsia="SimSun" w:cs="SimSun"/>
          <w:color w:val="000000"/>
          <w:sz w:val="21"/>
        </w:rPr>
        <w:t xml:space="preserve">万元及以上的为小型企业；从业人员</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人以下或资产总额</w:t>
      </w:r>
      <w:r>
        <w:rPr>
          <w:rFonts w:ascii="Times New Roman" w:hAnsi="Times New Roman" w:eastAsia="Times New Roman" w:cs="Times New Roman"/>
          <w:color w:val="000000"/>
          <w:sz w:val="21"/>
        </w:rPr>
        <w:t xml:space="preserve">100</w:t>
      </w:r>
      <w:r>
        <w:rPr>
          <w:rFonts w:ascii="SimSun" w:hAnsi="SimSun" w:eastAsia="SimSun" w:cs="SimSun"/>
          <w:color w:val="000000"/>
          <w:sz w:val="21"/>
        </w:rPr>
        <w:t xml:space="preserve">万元以下的为微型企业。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（十六）其他未列明行业。从业人员</w:t>
      </w:r>
      <w:r>
        <w:rPr>
          <w:rFonts w:ascii="Times New Roman" w:hAnsi="Times New Roman" w:eastAsia="Times New Roman" w:cs="Times New Roman"/>
          <w:color w:val="000000"/>
          <w:sz w:val="21"/>
        </w:rPr>
        <w:t xml:space="preserve">300</w:t>
      </w:r>
      <w:r>
        <w:rPr>
          <w:rFonts w:ascii="SimSun" w:hAnsi="SimSun" w:eastAsia="SimSun" w:cs="SimSun"/>
          <w:color w:val="000000"/>
          <w:sz w:val="21"/>
        </w:rPr>
        <w:t xml:space="preserve">人以下的为中小微型企业。其中，从业人员</w:t>
      </w:r>
      <w:r>
        <w:rPr>
          <w:rFonts w:ascii="Times New Roman" w:hAnsi="Times New Roman" w:eastAsia="Times New Roman" w:cs="Times New Roman"/>
          <w:color w:val="000000"/>
          <w:sz w:val="21"/>
        </w:rPr>
        <w:t xml:space="preserve">100</w:t>
      </w:r>
      <w:r>
        <w:rPr>
          <w:rFonts w:ascii="SimSun" w:hAnsi="SimSun" w:eastAsia="SimSun" w:cs="SimSun"/>
          <w:color w:val="000000"/>
          <w:sz w:val="21"/>
        </w:rPr>
        <w:t xml:space="preserve">人及以上的为中型企业；从业人员</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人及以上的为小型企业；从业人员</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人以下的为微型企业。</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633"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633"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附件十二、残疾人福利性单位声明函、属于监狱企业的证明文件</w:t>
      </w:r>
      <w:r/>
    </w:p>
    <w:p>
      <w:pPr>
        <w:ind w:left="0" w:right="0" w:firstLine="0"/>
        <w:jc w:val="center"/>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12-1残疾人福利性单位声明函</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444"/>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本单位郑重声明，根据《财政部民政部中国残疾人联合会关于促进残疾人就业政府采购政策的通知》（财库</w:t>
      </w:r>
      <w:r>
        <w:rPr>
          <w:rFonts w:ascii="SimSun" w:hAnsi="SimSun" w:eastAsia="SimSun" w:cs="SimSun"/>
          <w:color w:val="000000"/>
          <w:sz w:val="21"/>
        </w:rPr>
        <w:t xml:space="preserve">〔2017〕 141</w:t>
      </w:r>
      <w:r>
        <w:rPr>
          <w:rFonts w:ascii="SimSun" w:hAnsi="SimSun" w:eastAsia="SimSun" w:cs="SimSun"/>
          <w:color w:val="000000"/>
          <w:spacing w:val="6"/>
          <w:sz w:val="21"/>
        </w:rPr>
        <w:t xml:space="preserve">号）的规定，本单位为（符合/不符合）条件的残疾人福利性单位，且本单位参加</w:t>
      </w:r>
      <w:r>
        <w:rPr>
          <w:rFonts w:ascii="SimSun" w:hAnsi="SimSun" w:eastAsia="SimSun" w:cs="SimSun"/>
          <w:color w:val="000000"/>
          <w:sz w:val="21"/>
        </w:rPr>
        <w:t xml:space="preserve">______</w:t>
      </w:r>
      <w:r>
        <w:rPr>
          <w:rFonts w:ascii="SimSun" w:hAnsi="SimSun" w:eastAsia="SimSun" w:cs="SimSun"/>
          <w:color w:val="000000"/>
          <w:spacing w:val="6"/>
          <w:sz w:val="21"/>
        </w:rPr>
        <w:t xml:space="preserve">单位的项目采购活动提供本单位制造的货物（由本单位承担工程/提供服务），或者提供其他残疾人福利性单位制造的货物（不包括使用非残疾人福利性单位注册商标的货物）。</w:t>
      </w:r>
      <w:r/>
    </w:p>
    <w:p>
      <w:pPr>
        <w:ind w:left="0" w:right="0" w:firstLine="444"/>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本单位对上述声明的真实性负责。如有虚假，将依法承担相应责任。</w:t>
      </w:r>
      <w:r/>
    </w:p>
    <w:p>
      <w:pPr>
        <w:ind w:left="0" w:right="0" w:firstLine="444"/>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 </w:t>
      </w:r>
      <w:r/>
    </w:p>
    <w:p>
      <w:pPr>
        <w:ind w:left="0" w:right="0" w:firstLine="444"/>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投标人名称（电子公章）：</w:t>
      </w:r>
      <w:r>
        <w:rPr>
          <w:rFonts w:ascii="SimSun" w:hAnsi="SimSun" w:eastAsia="SimSun" w:cs="SimSun"/>
          <w:color w:val="000000"/>
          <w:sz w:val="21"/>
          <w:u w:val="single"/>
        </w:rPr>
        <w:tab/>
        <w:tab/>
        <w:tab/>
        <w:tab/>
        <w:tab/>
        <w:tab/>
        <w:tab/>
        <w:tab/>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法定代表人或授权代表（签字）：</w:t>
      </w:r>
      <w:r>
        <w:rPr>
          <w:rFonts w:ascii="SimSun" w:hAnsi="SimSun" w:eastAsia="SimSun" w:cs="SimSun"/>
          <w:color w:val="000000"/>
          <w:sz w:val="21"/>
          <w:u w:val="single"/>
        </w:rPr>
        <w:tab/>
        <w:tab/>
        <w:tab/>
        <w:tab/>
        <w:tab/>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rPr>
          <w:rFonts w:ascii="SimSun" w:hAnsi="SimSun" w:eastAsia="SimSun" w:cs="SimSun"/>
          <w:color w:val="000000"/>
          <w:sz w:val="21"/>
          <w:u w:val="single"/>
        </w:rPr>
        <w:tab/>
        <w:tab/>
        <w:tab/>
        <w:tab/>
        <w:tab/>
        <w:tab/>
        <w:tab/>
        <w:tab/>
        <w:tab/>
        <w:tab/>
        <w:tab/>
      </w:r>
      <w:r/>
    </w:p>
    <w:p>
      <w:pPr>
        <w:ind w:left="0" w:right="0" w:firstLine="470"/>
        <w:jc w:val="center"/>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注：具体以《关于促进残疾人就业政府采购政策的通知》（财库〔2017〕141号）的规定为准。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line="58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12-2属于监狱企业的证明文件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（提供由省级以上监狱管理局、戒毒管理局（含新疆生产建设兵团）出具的属于监狱企业的证明文件，不符合可不提供）</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633"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附件十三、服务方案</w:t>
      </w:r>
      <w:r/>
    </w:p>
    <w:p>
      <w:pPr>
        <w:ind w:left="0" w:right="0" w:firstLine="42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（各投标人根据招标文件规定的服务方案打分细则内容，格式自拟）</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附件十四、其他</w:t>
      </w:r>
      <w:r/>
    </w:p>
    <w:p>
      <w:pPr>
        <w:ind w:left="0" w:right="633"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（各投标人根据招标文件规定的打分细则对应提供相关证明材料等，格式自拟）</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633"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r/>
      <w:r/>
    </w:p>
    <w:sectPr>
      <w:headerReference w:type="default" r:id="rId9"/>
      <w:headerReference w:type="first" r:id="rId10"/>
      <w:footerReference w:type="default" r:id="rId11"/>
      <w:footerReference w:type="first" r:id="rId12"/>
      <w:footnotePr/>
      <w:endnotePr/>
      <w:type w:val="nextPage"/>
      <w:pgSz w:w="11906" w:h="16838" w:orient="portrait"/>
      <w:pgMar w:top="1440" w:right="1080" w:bottom="1440" w:left="108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SimHei">
    <w:panose1 w:val="02010609060101010101"/>
  </w:font>
  <w:font w:name="Symbol">
    <w:panose1 w:val="05050102010706020507"/>
  </w:font>
  <w:font w:name="Wingdings">
    <w:panose1 w:val="05000000000000000000"/>
  </w:font>
  <w:font w:name="华文楷体">
    <w:panose1 w:val="02010600040101010101"/>
  </w:font>
  <w:font w:name="仿宋">
    <w:panose1 w:val="02010609060101010101"/>
  </w:font>
  <w:font w:name="等线">
    <w:panose1 w:val="02010600030101010101"/>
  </w:font>
  <w:font w:name="楷体_GB2312">
    <w:panose1 w:val="02010609060101010101"/>
  </w:font>
  <w:font w:name="Calibri">
    <w:panose1 w:val="020F0502020204030204"/>
  </w:font>
  <w:font w:name="Courier New">
    <w:panose1 w:val="02070309020205020404"/>
  </w:font>
  <w:font w:name="Cambria">
    <w:panose1 w:val="02040503050406030204"/>
  </w:font>
  <w:font w:name="仿宋_GB2312">
    <w:panose1 w:val="02010609060101010101"/>
  </w:font>
  <w:font w:name="Verdana">
    <w:panose1 w:val="020B0604030504040204"/>
  </w:font>
  <w:font w:name="黑体">
    <w:panose1 w:val="02010609060101010101"/>
  </w:font>
  <w:font w:name="幼圆">
    <w:panose1 w:val="02010509060101010101"/>
  </w:font>
  <w:font w:name="Arial">
    <w:panose1 w:val="020B0604020202020204"/>
  </w:font>
  <w:font w:name="SimSun">
    <w:panose1 w:val="02010600030101010101"/>
  </w:font>
  <w:font w:name="monospace">
    <w:panose1 w:val="020B0503020202020204"/>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5"/>
      <w:tabs>
        <w:tab w:val="center" w:pos="4153" w:leader="none"/>
        <w:tab w:val="right" w:pos="8306" w:leader="none"/>
      </w:tabs>
      <w:rPr>
        <w:rStyle w:val="1125"/>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5"/>
                            <w:tabs>
                              <w:tab w:val="clear" w:pos="4153" w:leader="none"/>
                              <w:tab w:val="clear" w:pos="8306" w:leader="none"/>
                            </w:tabs>
                          </w:pPr>
                          <w:r>
                            <w:fldChar w:fldCharType="begin"/>
                          </w:r>
                          <w:r>
                            <w:instrText xml:space="preserve"> PAGE  \* MERGEFORMAT </w:instrText>
                          </w:r>
                          <w:r>
                            <w:fldChar w:fldCharType="separate"/>
                          </w:r>
                          <w:r>
                            <w:t xml:space="preserve">21</w:t>
                          </w:r>
                          <w:r>
                            <w:fldChar w:fldCharType="end"/>
                          </w:r>
                          <w:r/>
                        </w:p>
                        <w:p>
                          <w:pPr>
                            <w:pStyle w:val="1000"/>
                          </w:pPr>
                          <w:r/>
                          <w:r/>
                        </w:p>
                      </w:txbxContent>
                    </wps:txbx>
                    <wps:bodyPr wrap="none" lIns="0" tIns="0" rIns="0" bIns="0" upright="1">
                      <a:spAutoFit/>
                    </wps:bodyPr>
                  </wps:wsp>
                </a:graphicData>
              </a:graphic>
            </wp:anchor>
          </w:drawing>
        </mc:Choice>
        <mc:Fallback>
          <w:pict>
            <v:shape id="shape 2" o:spid="_x0000_s2"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5"/>
                      <w:tabs>
                        <w:tab w:val="clear" w:pos="4153" w:leader="none"/>
                        <w:tab w:val="clear" w:pos="8306" w:leader="none"/>
                      </w:tabs>
                    </w:pPr>
                    <w:r>
                      <w:fldChar w:fldCharType="begin"/>
                    </w:r>
                    <w:r>
                      <w:instrText xml:space="preserve"> PAGE  \* MERGEFORMAT </w:instrText>
                    </w:r>
                    <w:r>
                      <w:fldChar w:fldCharType="separate"/>
                    </w:r>
                    <w:r>
                      <w:t xml:space="preserve">21</w:t>
                    </w:r>
                    <w:r>
                      <w:fldChar w:fldCharType="end"/>
                    </w:r>
                    <w:r/>
                  </w:p>
                  <w:p>
                    <w:pPr>
                      <w:pStyle w:val="1000"/>
                    </w:pPr>
                    <w:r/>
                    <w:r/>
                  </w:p>
                </w:txbxContent>
              </v:textbox>
            </v:shape>
          </w:pict>
        </mc:Fallback>
      </mc:AlternateContent>
    </w:r>
    <w:r>
      <w:rPr>
        <w:rStyle w:val="1125"/>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0"/>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5"/>
                            <w:tabs>
                              <w:tab w:val="clear" w:pos="4153" w:leader="none"/>
                              <w:tab w:val="clear" w:pos="8306" w:leader="none"/>
                            </w:tabs>
                          </w:pPr>
                          <w:r>
                            <w:t xml:space="preserve">第 </w:t>
                          </w:r>
                          <w:r>
                            <w:fldChar w:fldCharType="begin"/>
                          </w:r>
                          <w:r>
                            <w:instrText xml:space="preserve"> PAGE  \* MERGEFORMAT </w:instrText>
                          </w:r>
                          <w:r>
                            <w:fldChar w:fldCharType="separate"/>
                          </w:r>
                          <w:r>
                            <w:t xml:space="preserve">46</w:t>
                          </w:r>
                          <w:r>
                            <w:fldChar w:fldCharType="end"/>
                          </w:r>
                          <w:r>
                            <w:t xml:space="preserve"> 页 共 </w:t>
                          </w:r>
                          <w:r>
                            <w:fldChar w:fldCharType="begin"/>
                          </w:r>
                          <w:r>
                            <w:instrText xml:space="preserve"> NUMPAGES  \* MERGEFORMAT </w:instrText>
                          </w:r>
                          <w:r>
                            <w:fldChar w:fldCharType="separate"/>
                          </w:r>
                          <w:r>
                            <w:t xml:space="preserve">67</w:t>
                          </w:r>
                          <w:r>
                            <w:fldChar w:fldCharType="end"/>
                          </w:r>
                          <w:r>
                            <w:t xml:space="preserve"> 页</w:t>
                          </w:r>
                          <w:r/>
                        </w:p>
                        <w:p>
                          <w:pPr>
                            <w:pStyle w:val="1000"/>
                          </w:pPr>
                          <w:r/>
                          <w:r/>
                        </w:p>
                      </w:txbxContent>
                    </wps:txbx>
                    <wps:bodyPr wrap="none" lIns="0" tIns="0" rIns="0" bIns="0" upright="1">
                      <a:spAutoFit/>
                    </wps:bodyPr>
                  </wps:wsp>
                </a:graphicData>
              </a:graphic>
            </wp:anchor>
          </w:drawing>
        </mc:Choice>
        <mc:Fallback>
          <w:pict>
            <v:shape id="shape 3" o:spid="_x0000_s3"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5"/>
                      <w:tabs>
                        <w:tab w:val="clear" w:pos="4153" w:leader="none"/>
                        <w:tab w:val="clear" w:pos="8306" w:leader="none"/>
                      </w:tabs>
                    </w:pPr>
                    <w:r>
                      <w:t xml:space="preserve">第 </w:t>
                    </w:r>
                    <w:r>
                      <w:fldChar w:fldCharType="begin"/>
                    </w:r>
                    <w:r>
                      <w:instrText xml:space="preserve"> PAGE  \* MERGEFORMAT </w:instrText>
                    </w:r>
                    <w:r>
                      <w:fldChar w:fldCharType="separate"/>
                    </w:r>
                    <w:r>
                      <w:t xml:space="preserve">46</w:t>
                    </w:r>
                    <w:r>
                      <w:fldChar w:fldCharType="end"/>
                    </w:r>
                    <w:r>
                      <w:t xml:space="preserve"> 页 共 </w:t>
                    </w:r>
                    <w:r>
                      <w:fldChar w:fldCharType="begin"/>
                    </w:r>
                    <w:r>
                      <w:instrText xml:space="preserve"> NUMPAGES  \* MERGEFORMAT </w:instrText>
                    </w:r>
                    <w:r>
                      <w:fldChar w:fldCharType="separate"/>
                    </w:r>
                    <w:r>
                      <w:t xml:space="preserve">67</w:t>
                    </w:r>
                    <w:r>
                      <w:fldChar w:fldCharType="end"/>
                    </w:r>
                    <w:r>
                      <w:t xml:space="preserve"> 页</w:t>
                    </w:r>
                    <w:r/>
                  </w:p>
                  <w:p>
                    <w:pPr>
                      <w:pStyle w:val="1000"/>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0"/>
      <w:widowControl w:val="off"/>
      <w:tabs>
        <w:tab w:val="center" w:pos="4153" w:leader="none"/>
        <w:tab w:val="right" w:pos="8306" w:leader="none"/>
      </w:tabs>
      <w:rPr>
        <w:rFonts w:ascii="宋体" w:hAnsi="宋体" w:cs="宋体"/>
        <w:b/>
        <w:bCs/>
        <w:color w:val="000000"/>
        <w:sz w:val="18"/>
        <w:szCs w:val="21"/>
        <w:lang w:val="zh-TW"/>
      </w:rPr>
      <w:pBdr>
        <w:top w:val="none" w:color="000000" w:sz="0" w:space="1"/>
        <w:left w:val="none" w:color="000000" w:sz="0" w:space="4"/>
        <w:right w:val="none" w:color="000000" w:sz="0" w:space="4"/>
      </w:pBdr>
    </w:pPr>
    <w:r>
      <w:rPr>
        <w:rFonts w:ascii="宋体" w:hAnsi="宋体" w:cs="宋体"/>
        <w:b/>
        <w:bCs/>
        <w:color w:val="000000"/>
        <w:sz w:val="18"/>
        <w:szCs w:val="21"/>
        <w:lang w:val="zh-TW"/>
      </w:rPr>
    </w:r>
    <w:r/>
  </w:p>
  <w:p>
    <w:pPr>
      <w:pStyle w:val="1037"/>
      <w:jc w:val="right"/>
      <w:tabs>
        <w:tab w:val="center" w:pos="4153" w:leader="none"/>
        <w:tab w:val="right" w:pos="8306" w:leader="none"/>
      </w:tabs>
      <w:rPr>
        <w:rFonts w:hint="eastAsia" w:ascii="宋体" w:hAnsi="宋体" w:cs="宋体"/>
        <w:b/>
        <w:bCs/>
        <w:color w:val="000000"/>
        <w:lang w:val="zh-TW" w:eastAsia="zh-CN"/>
      </w:rPr>
      <w:pBdr>
        <w:bottom w:val="none" w:color="000000" w:sz="0" w:space="1"/>
      </w:pBdr>
    </w:pPr>
    <w:r>
      <w:rPr>
        <w:rFonts w:hint="eastAsia" w:ascii="宋体" w:hAnsi="宋体" w:cs="宋体"/>
        <w:b/>
        <w:bCs/>
        <w:color w:val="000000"/>
        <w:lang w:val="zh-TW" w:eastAsia="zh-CN"/>
      </w:rPr>
    </w:r>
    <w:r/>
  </w:p>
  <w:p>
    <w:pPr>
      <w:pStyle w:val="1037"/>
      <w:jc w:val="right"/>
      <w:tabs>
        <w:tab w:val="center" w:pos="4153" w:leader="none"/>
        <w:tab w:val="right" w:pos="8306" w:leader="none"/>
      </w:tabs>
      <w:pBdr>
        <w:bottom w:val="none" w:color="000000" w:sz="0" w:space="1"/>
      </w:pBdr>
    </w:pPr>
    <w:r>
      <w:rPr>
        <w:rFonts w:ascii="宋体" w:hAnsi="宋体" w:cs="宋体"/>
        <w:b/>
        <w:bCs/>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page">
                <wp:posOffset>1028700</wp:posOffset>
              </wp:positionH>
              <wp:positionV relativeFrom="page">
                <wp:posOffset>504825</wp:posOffset>
              </wp:positionV>
              <wp:extent cx="885825" cy="371475"/>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885825" cy="371475"/>
                      </a:xfrm>
                      <a:prstGeom prst="rect">
                        <a:avLst/>
                      </a:prstGeom>
                      <a:noFill/>
                      <a:ln w="12700">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524288;o:allowoverlap:true;o:allowincell:true;mso-position-horizontal-relative:page;margin-left:81.0pt;mso-position-horizontal:absolute;mso-position-vertical-relative:page;margin-top:39.8pt;mso-position-vertical:absolute;width:69.8pt;height:29.2pt;mso-wrap-distance-left:9.0pt;mso-wrap-distance-top:0.0pt;mso-wrap-distance-right:9.0pt;mso-wrap-distance-bottom:0.0pt;" stroked="f" strokeweight="1.00pt">
              <v:path textboxrect="0,0,0,0"/>
              <v:imagedata r:id="rId1" o:title=""/>
            </v:shape>
          </w:pict>
        </mc:Fallback>
      </mc:AlternateContent>
    </w:r>
    <w:r>
      <w:rPr>
        <w:rFonts w:hint="eastAsia" w:ascii="宋体" w:hAnsi="宋体" w:cs="宋体"/>
        <w:b/>
        <w:bCs/>
        <w:color w:val="000000"/>
        <w:lang w:val="zh-TW" w:eastAsia="zh-CN"/>
      </w:rPr>
      <w:t xml:space="preserve">2026年鼓楼区排水设施大中修服务项目</w:t>
    </w:r>
    <w:r>
      <w:rPr>
        <w:rFonts w:hint="eastAsia" w:ascii="宋体" w:hAnsi="宋体" w:cs="宋体"/>
        <w:b/>
        <w:bCs/>
        <w:color w:val="000000"/>
        <w:lang w:val="zh-TW"/>
      </w:rPr>
      <w:t xml:space="preserve">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7"/>
      <w:jc w:val="right"/>
      <w:tabs>
        <w:tab w:val="center" w:pos="4153" w:leader="none"/>
        <w:tab w:val="right" w:pos="8306" w:leader="none"/>
      </w:tabs>
      <w:rPr>
        <w:rFonts w:hint="eastAsia" w:ascii="宋体" w:hAnsi="宋体" w:cs="宋体"/>
        <w:b/>
        <w:bCs/>
        <w:color w:val="000000"/>
        <w:lang w:val="zh-TW"/>
      </w:rPr>
    </w:pPr>
    <w:r>
      <w:rPr>
        <w:rFonts w:hint="eastAsia" w:ascii="宋体" w:hAnsi="宋体" w:cs="宋体"/>
        <w:b/>
        <w:bCs/>
        <w:color w:val="000000"/>
        <w:lang w:val="zh-TW"/>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-36829</wp:posOffset>
              </wp:positionH>
              <wp:positionV relativeFrom="paragraph">
                <wp:posOffset>1905</wp:posOffset>
              </wp:positionV>
              <wp:extent cx="983615" cy="43053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983615" cy="4305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8244;o:allowoverlap:true;o:allowincell:true;mso-position-horizontal-relative:text;margin-left:-2.9pt;mso-position-horizontal:absolute;mso-position-vertical-relative:text;margin-top:0.1pt;mso-position-vertical:absolute;width:77.5pt;height:33.9pt;mso-wrap-distance-left:9.0pt;mso-wrap-distance-top:0.0pt;mso-wrap-distance-right:9.0pt;mso-wrap-distance-bottom:0.0pt;" stroked="f">
              <v:path textboxrect="0,0,0,0"/>
              <v:imagedata r:id="rId1" o:title=""/>
            </v:shape>
          </w:pict>
        </mc:Fallback>
      </mc:AlternateContent>
    </w:r>
    <w:r>
      <w:rPr>
        <w:rFonts w:hint="eastAsia" w:ascii="宋体" w:hAnsi="宋体" w:cs="宋体"/>
        <w:b/>
        <w:bCs/>
        <w:color w:val="000000"/>
        <w:lang w:val="zh-TW"/>
      </w:rPr>
      <w:t xml:space="preserve">2025年鼓楼区智慧水务大数据管控平台运维服务</w:t>
    </w:r>
    <w:r>
      <w:rPr>
        <w:rFonts w:hint="eastAsia" w:ascii="宋体" w:hAnsi="宋体" w:cs="宋体"/>
        <w:b/>
        <w:bCs/>
        <w:color w:val="000000"/>
        <w:lang w:val="zh-TW"/>
      </w:rPr>
    </w:r>
    <w:r/>
  </w:p>
  <w:p>
    <w:pPr>
      <w:pStyle w:val="1037"/>
      <w:jc w:val="right"/>
      <w:tabs>
        <w:tab w:val="center" w:pos="4153" w:leader="none"/>
        <w:tab w:val="right" w:pos="8306" w:leader="none"/>
      </w:tabs>
    </w:pPr>
    <w:r>
      <w:rPr>
        <w:rFonts w:hint="eastAsia" w:ascii="宋体" w:hAnsi="宋体" w:cs="宋体"/>
        <w:b/>
        <w:bCs/>
        <w:color w:val="000000"/>
        <w:lang w:val="zh-TW"/>
      </w:rPr>
      <w:t xml:space="preserve">（运维、监理）招标文件</w:t>
    </w:r>
    <w:r/>
  </w:p>
  <w:p>
    <w:pPr>
      <w:pStyle w:val="1037"/>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1088"/>
      <w:isLgl w:val="false"/>
      <w:suff w:val="tab"/>
      <w:lvlText w:val="%1."/>
      <w:lvlJc w:val="left"/>
      <w:pPr>
        <w:pStyle w:val="1000"/>
        <w:ind w:left="720" w:hanging="720"/>
      </w:pPr>
      <w:rPr>
        <w:rFonts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1000"/>
        <w:ind w:left="630" w:hanging="420"/>
        <w:tabs>
          <w:tab w:val="num" w:pos="630" w:leader="none"/>
        </w:tabs>
      </w:pPr>
      <w:rPr>
        <w:rFonts w:cs="Times New Roman"/>
      </w:rPr>
    </w:lvl>
    <w:lvl w:ilvl="1">
      <w:start w:val="1"/>
      <w:numFmt w:val="decimal"/>
      <w:isLgl w:val="false"/>
      <w:suff w:val="tab"/>
      <w:lvlText w:val="%2)"/>
      <w:lvlJc w:val="left"/>
      <w:pPr>
        <w:pStyle w:val="1000"/>
        <w:ind w:left="990" w:hanging="360"/>
        <w:tabs>
          <w:tab w:val="num" w:pos="990" w:leader="none"/>
        </w:tabs>
      </w:pPr>
      <w:rPr>
        <w:color w:val="000000"/>
      </w:rPr>
    </w:lvl>
    <w:lvl w:ilvl="2">
      <w:start w:val="1"/>
      <w:numFmt w:val="lowerRoman"/>
      <w:isLgl w:val="false"/>
      <w:suff w:val="tab"/>
      <w:lvlText w:val="%3."/>
      <w:lvlJc w:val="right"/>
      <w:pPr>
        <w:pStyle w:val="1000"/>
        <w:ind w:left="1470" w:hanging="420"/>
        <w:tabs>
          <w:tab w:val="num" w:pos="1470" w:leader="none"/>
        </w:tabs>
      </w:pPr>
      <w:rPr>
        <w:rFonts w:cs="Times New Roman"/>
      </w:rPr>
    </w:lvl>
    <w:lvl w:ilvl="3">
      <w:start w:val="1"/>
      <w:numFmt w:val="decimal"/>
      <w:isLgl w:val="false"/>
      <w:suff w:val="tab"/>
      <w:lvlText w:val="%4."/>
      <w:lvlJc w:val="left"/>
      <w:pPr>
        <w:pStyle w:val="1000"/>
        <w:ind w:left="1890" w:hanging="420"/>
        <w:tabs>
          <w:tab w:val="num" w:pos="1890" w:leader="none"/>
        </w:tabs>
      </w:pPr>
      <w:rPr>
        <w:rFonts w:cs="Times New Roman"/>
      </w:rPr>
    </w:lvl>
    <w:lvl w:ilvl="4">
      <w:start w:val="1"/>
      <w:numFmt w:val="lowerLetter"/>
      <w:isLgl w:val="false"/>
      <w:suff w:val="tab"/>
      <w:lvlText w:val="%5)"/>
      <w:lvlJc w:val="left"/>
      <w:pPr>
        <w:pStyle w:val="1000"/>
        <w:ind w:left="2310" w:hanging="420"/>
        <w:tabs>
          <w:tab w:val="num" w:pos="2310" w:leader="none"/>
        </w:tabs>
      </w:pPr>
      <w:rPr>
        <w:rFonts w:cs="Times New Roman"/>
      </w:rPr>
    </w:lvl>
    <w:lvl w:ilvl="5">
      <w:start w:val="1"/>
      <w:numFmt w:val="lowerRoman"/>
      <w:isLgl w:val="false"/>
      <w:suff w:val="tab"/>
      <w:lvlText w:val="%6."/>
      <w:lvlJc w:val="right"/>
      <w:pPr>
        <w:pStyle w:val="1000"/>
        <w:ind w:left="2730" w:hanging="420"/>
        <w:tabs>
          <w:tab w:val="num" w:pos="2730" w:leader="none"/>
        </w:tabs>
      </w:pPr>
      <w:rPr>
        <w:rFonts w:cs="Times New Roman"/>
      </w:rPr>
    </w:lvl>
    <w:lvl w:ilvl="6">
      <w:start w:val="1"/>
      <w:numFmt w:val="decimal"/>
      <w:isLgl w:val="false"/>
      <w:suff w:val="tab"/>
      <w:lvlText w:val="%7."/>
      <w:lvlJc w:val="left"/>
      <w:pPr>
        <w:pStyle w:val="1000"/>
        <w:ind w:left="3150" w:hanging="420"/>
        <w:tabs>
          <w:tab w:val="num" w:pos="3150" w:leader="none"/>
        </w:tabs>
      </w:pPr>
      <w:rPr>
        <w:rFonts w:cs="Times New Roman"/>
      </w:rPr>
    </w:lvl>
    <w:lvl w:ilvl="7">
      <w:start w:val="1"/>
      <w:numFmt w:val="lowerLetter"/>
      <w:isLgl w:val="false"/>
      <w:suff w:val="tab"/>
      <w:lvlText w:val="%8)"/>
      <w:lvlJc w:val="left"/>
      <w:pPr>
        <w:pStyle w:val="1000"/>
        <w:ind w:left="3570" w:hanging="420"/>
        <w:tabs>
          <w:tab w:val="num" w:pos="3570" w:leader="none"/>
        </w:tabs>
      </w:pPr>
      <w:rPr>
        <w:rFonts w:cs="Times New Roman"/>
      </w:rPr>
    </w:lvl>
    <w:lvl w:ilvl="8">
      <w:start w:val="1"/>
      <w:numFmt w:val="lowerRoman"/>
      <w:isLgl w:val="false"/>
      <w:suff w:val="tab"/>
      <w:lvlText w:val="%9."/>
      <w:lvlJc w:val="right"/>
      <w:pPr>
        <w:pStyle w:val="1000"/>
        <w:ind w:left="3990" w:hanging="420"/>
        <w:tabs>
          <w:tab w:val="num" w:pos="3990" w:leader="none"/>
        </w:tabs>
      </w:pPr>
      <w:rPr>
        <w:rFonts w:cs="Times New Roman"/>
      </w:rPr>
    </w:lvl>
  </w:abstractNum>
  <w:abstractNum w:abstractNumId="2">
    <w:multiLevelType w:val="hybridMultilevel"/>
    <w:lvl w:ilvl="0">
      <w:start w:val="1"/>
      <w:numFmt w:val="chineseCountingThousand"/>
      <w:pStyle w:val="1150"/>
      <w:isLgl w:val="false"/>
      <w:suff w:val="nothing"/>
      <w:lvlText w:val="第%1章"/>
      <w:lvlJc w:val="left"/>
      <w:pPr>
        <w:pStyle w:val="1000"/>
        <w:ind w:left="3402"/>
      </w:pPr>
      <w:rPr>
        <w:rFonts w:cs="Times New Roman"/>
      </w:rPr>
    </w:lvl>
    <w:lvl w:ilvl="1">
      <w:start w:val="1"/>
      <w:numFmt w:val="lowerLetter"/>
      <w:pStyle w:val="1174"/>
      <w:isLgl w:val="false"/>
      <w:suff w:val="tab"/>
      <w:lvlText w:val="%1)"/>
      <w:lvlJc w:val="left"/>
      <w:pPr>
        <w:pStyle w:val="1000"/>
        <w:ind w:left="840" w:hanging="420"/>
      </w:pPr>
      <w:rPr>
        <w:rFonts w:cs="Times New Roman"/>
      </w:rPr>
    </w:lvl>
    <w:lvl w:ilvl="2">
      <w:start w:val="1"/>
      <w:numFmt w:val="lowerRoman"/>
      <w:pStyle w:val="1187"/>
      <w:isLgl w:val="false"/>
      <w:suff w:val="tab"/>
      <w:lvlText w:val="%1."/>
      <w:lvlJc w:val="right"/>
      <w:pPr>
        <w:pStyle w:val="1000"/>
        <w:ind w:left="1260" w:hanging="420"/>
      </w:pPr>
      <w:rPr>
        <w:rFonts w:cs="Times New Roman"/>
      </w:rPr>
    </w:lvl>
    <w:lvl w:ilvl="3">
      <w:start w:val="1"/>
      <w:numFmt w:val="decimal"/>
      <w:pStyle w:val="1171"/>
      <w:isLgl w:val="false"/>
      <w:suff w:val="tab"/>
      <w:lvlText w:val="%1."/>
      <w:lvlJc w:val="left"/>
      <w:pPr>
        <w:pStyle w:val="1000"/>
        <w:ind w:left="1680" w:hanging="420"/>
      </w:pPr>
      <w:rPr>
        <w:rFonts w:cs="Times New Roman"/>
      </w:rPr>
    </w:lvl>
    <w:lvl w:ilvl="4">
      <w:start w:val="1"/>
      <w:numFmt w:val="lowerLetter"/>
      <w:pStyle w:val="1180"/>
      <w:isLgl w:val="false"/>
      <w:suff w:val="tab"/>
      <w:lvlText w:val="%1)"/>
      <w:lvlJc w:val="left"/>
      <w:pPr>
        <w:pStyle w:val="1000"/>
        <w:ind w:left="2100" w:hanging="420"/>
      </w:pPr>
      <w:rPr>
        <w:rFonts w:cs="Times New Roman"/>
      </w:rPr>
    </w:lvl>
    <w:lvl w:ilvl="5">
      <w:start w:val="1"/>
      <w:numFmt w:val="lowerRoman"/>
      <w:pStyle w:val="1154"/>
      <w:isLgl w:val="false"/>
      <w:suff w:val="tab"/>
      <w:lvlText w:val="%1."/>
      <w:lvlJc w:val="right"/>
      <w:pPr>
        <w:pStyle w:val="1000"/>
        <w:ind w:left="2520" w:hanging="420"/>
      </w:pPr>
      <w:rPr>
        <w:rFonts w:cs="Times New Roman"/>
      </w:rPr>
    </w:lvl>
    <w:lvl w:ilvl="6">
      <w:start w:val="1"/>
      <w:numFmt w:val="decimal"/>
      <w:pStyle w:val="1200"/>
      <w:isLgl w:val="false"/>
      <w:suff w:val="tab"/>
      <w:lvlText w:val="%1."/>
      <w:lvlJc w:val="left"/>
      <w:pPr>
        <w:pStyle w:val="1000"/>
        <w:ind w:left="2940" w:hanging="420"/>
      </w:pPr>
      <w:rPr>
        <w:rFonts w:cs="Times New Roman"/>
      </w:rPr>
    </w:lvl>
    <w:lvl w:ilvl="7">
      <w:start w:val="1"/>
      <w:numFmt w:val="lowerLetter"/>
      <w:pStyle w:val="1153"/>
      <w:isLgl w:val="false"/>
      <w:suff w:val="tab"/>
      <w:lvlText w:val="%1)"/>
      <w:lvlJc w:val="left"/>
      <w:pPr>
        <w:pStyle w:val="1000"/>
        <w:ind w:left="3360" w:hanging="420"/>
      </w:pPr>
      <w:rPr>
        <w:rFonts w:cs="Times New Roman"/>
      </w:rPr>
    </w:lvl>
    <w:lvl w:ilvl="8">
      <w:start w:val="1"/>
      <w:numFmt w:val="lowerRoman"/>
      <w:pStyle w:val="1168"/>
      <w:isLgl w:val="false"/>
      <w:suff w:val="tab"/>
      <w:lvlText w:val="%1."/>
      <w:lvlJc w:val="right"/>
      <w:pPr>
        <w:pStyle w:val="1000"/>
        <w:ind w:left="3780" w:hanging="420"/>
      </w:pPr>
      <w:rPr>
        <w:rFonts w:cs="Times New Roman"/>
      </w:rPr>
    </w:lvl>
  </w:abstractNum>
  <w:abstractNum w:abstractNumId="3">
    <w:multiLevelType w:val="hybridMultilevel"/>
    <w:lvl w:ilvl="0">
      <w:start w:val="1"/>
      <w:numFmt w:val="decimal"/>
      <w:isLgl w:val="false"/>
      <w:suff w:val="nothing"/>
      <w:lvlText w:val="%1、"/>
      <w:lvlJc w:val="left"/>
      <w:pPr>
        <w:pStyle w:val="10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1000"/>
        <w:ind w:left="0" w:firstLine="0"/>
      </w:pPr>
      <w:rPr>
        <w:rFonts w:ascii="Times New Roman" w:hAnsi="Times New Roman" w:cs="Times New Roman"/>
      </w:rPr>
    </w:lvl>
    <w:lvl w:ilvl="1">
      <w:start w:val="1"/>
      <w:numFmt w:val="decimal"/>
      <w:isLgl w:val="false"/>
      <w:suff w:val="tab"/>
      <w:lvlText w:val="%2."/>
      <w:lvlJc w:val="left"/>
      <w:pPr>
        <w:pStyle w:val="1000"/>
        <w:ind w:left="1440" w:hanging="360"/>
        <w:tabs>
          <w:tab w:val="num" w:pos="1440" w:leader="none"/>
        </w:tabs>
      </w:pPr>
    </w:lvl>
    <w:lvl w:ilvl="2">
      <w:start w:val="1"/>
      <w:numFmt w:val="decimal"/>
      <w:isLgl w:val="false"/>
      <w:suff w:val="tab"/>
      <w:lvlText w:val="%3."/>
      <w:lvlJc w:val="left"/>
      <w:pPr>
        <w:pStyle w:val="1000"/>
        <w:ind w:left="2160" w:hanging="360"/>
        <w:tabs>
          <w:tab w:val="num" w:pos="2160" w:leader="none"/>
        </w:tabs>
      </w:pPr>
    </w:lvl>
    <w:lvl w:ilvl="3">
      <w:start w:val="1"/>
      <w:numFmt w:val="decimal"/>
      <w:isLgl w:val="false"/>
      <w:suff w:val="tab"/>
      <w:lvlText w:val="%4."/>
      <w:lvlJc w:val="left"/>
      <w:pPr>
        <w:pStyle w:val="1000"/>
        <w:ind w:left="2880" w:hanging="360"/>
        <w:tabs>
          <w:tab w:val="num" w:pos="2880" w:leader="none"/>
        </w:tabs>
      </w:pPr>
    </w:lvl>
    <w:lvl w:ilvl="4">
      <w:start w:val="1"/>
      <w:numFmt w:val="decimal"/>
      <w:isLgl w:val="false"/>
      <w:suff w:val="tab"/>
      <w:lvlText w:val="%5."/>
      <w:lvlJc w:val="left"/>
      <w:pPr>
        <w:pStyle w:val="1000"/>
        <w:ind w:left="3600" w:hanging="360"/>
        <w:tabs>
          <w:tab w:val="num" w:pos="3600" w:leader="none"/>
        </w:tabs>
      </w:pPr>
    </w:lvl>
    <w:lvl w:ilvl="5">
      <w:start w:val="1"/>
      <w:numFmt w:val="decimal"/>
      <w:isLgl w:val="false"/>
      <w:suff w:val="tab"/>
      <w:lvlText w:val="%6."/>
      <w:lvlJc w:val="left"/>
      <w:pPr>
        <w:pStyle w:val="1000"/>
        <w:ind w:left="4320" w:hanging="360"/>
        <w:tabs>
          <w:tab w:val="num" w:pos="4320" w:leader="none"/>
        </w:tabs>
      </w:pPr>
    </w:lvl>
    <w:lvl w:ilvl="6">
      <w:start w:val="1"/>
      <w:numFmt w:val="decimal"/>
      <w:isLgl w:val="false"/>
      <w:suff w:val="tab"/>
      <w:lvlText w:val="%7."/>
      <w:lvlJc w:val="left"/>
      <w:pPr>
        <w:pStyle w:val="1000"/>
        <w:ind w:left="5040" w:hanging="360"/>
        <w:tabs>
          <w:tab w:val="num" w:pos="5040" w:leader="none"/>
        </w:tabs>
      </w:pPr>
    </w:lvl>
    <w:lvl w:ilvl="7">
      <w:start w:val="1"/>
      <w:numFmt w:val="decimal"/>
      <w:isLgl w:val="false"/>
      <w:suff w:val="tab"/>
      <w:lvlText w:val="%8."/>
      <w:lvlJc w:val="left"/>
      <w:pPr>
        <w:pStyle w:val="1000"/>
        <w:ind w:left="5760" w:hanging="360"/>
        <w:tabs>
          <w:tab w:val="num" w:pos="5760" w:leader="none"/>
        </w:tabs>
      </w:pPr>
    </w:lvl>
    <w:lvl w:ilvl="8">
      <w:start w:val="1"/>
      <w:numFmt w:val="decimal"/>
      <w:isLgl w:val="false"/>
      <w:suff w:val="tab"/>
      <w:lvlText w:val="%9."/>
      <w:lvlJc w:val="left"/>
      <w:pPr>
        <w:pStyle w:val="1000"/>
        <w:ind w:left="6480" w:hanging="360"/>
        <w:tabs>
          <w:tab w:val="num" w:pos="6480" w:leader="none"/>
        </w:tabs>
      </w:pPr>
    </w:lvl>
  </w:abstractNum>
  <w:abstractNum w:abstractNumId="5">
    <w:multiLevelType w:val="hybridMultilevel"/>
    <w:lvl w:ilvl="0">
      <w:start w:val="1"/>
      <w:numFmt w:val="decimal"/>
      <w:isLgl w:val="false"/>
      <w:suff w:val="tab"/>
      <w:lvlText w:val="（%1）"/>
      <w:lvlJc w:val="left"/>
      <w:pPr>
        <w:ind w:left="0" w:firstLine="0"/>
      </w:pPr>
    </w:lvl>
    <w:lvl w:ilvl="1">
      <w:start w:val="1"/>
      <w:numFmt w:val="decimal"/>
      <w:isLgl w:val="false"/>
      <w:suff w:val="tab"/>
      <w:lvlText w:val="%2."/>
      <w:lvlJc w:val="left"/>
      <w:pPr>
        <w:ind w:left="1440" w:hanging="360"/>
      </w:pPr>
    </w:lvl>
    <w:lvl w:ilvl="2">
      <w:start w:val="1"/>
      <w:numFmt w:val="decimal"/>
      <w:isLgl w:val="false"/>
      <w:suff w:val="tab"/>
      <w:lvlText w:val="%3."/>
      <w:lvlJc w:val="left"/>
      <w:pPr>
        <w:ind w:left="2160" w:hanging="360"/>
      </w:pPr>
    </w:lvl>
    <w:lvl w:ilvl="3">
      <w:start w:val="1"/>
      <w:numFmt w:val="decimal"/>
      <w:isLgl w:val="false"/>
      <w:suff w:val="tab"/>
      <w:lvlText w:val="%4."/>
      <w:lvlJc w:val="left"/>
      <w:pPr>
        <w:ind w:left="2880" w:hanging="360"/>
      </w:pPr>
    </w:lvl>
    <w:lvl w:ilvl="4">
      <w:start w:val="1"/>
      <w:numFmt w:val="decimal"/>
      <w:isLgl w:val="false"/>
      <w:suff w:val="tab"/>
      <w:lvlText w:val="%5."/>
      <w:lvlJc w:val="left"/>
      <w:pPr>
        <w:ind w:left="3600" w:hanging="360"/>
      </w:pPr>
    </w:lvl>
    <w:lvl w:ilvl="5">
      <w:start w:val="1"/>
      <w:numFmt w:val="decimal"/>
      <w:isLgl w:val="false"/>
      <w:suff w:val="tab"/>
      <w:lvlText w:val="%6."/>
      <w:lvlJc w:val="left"/>
      <w:pPr>
        <w:ind w:left="4320" w:hanging="360"/>
      </w:pPr>
    </w:lvl>
    <w:lvl w:ilvl="6">
      <w:start w:val="1"/>
      <w:numFmt w:val="decimal"/>
      <w:isLgl w:val="false"/>
      <w:suff w:val="tab"/>
      <w:lvlText w:val="%7."/>
      <w:lvlJc w:val="left"/>
      <w:pPr>
        <w:ind w:left="5040" w:hanging="360"/>
      </w:pPr>
    </w:lvl>
    <w:lvl w:ilvl="7">
      <w:start w:val="1"/>
      <w:numFmt w:val="decimal"/>
      <w:isLgl w:val="false"/>
      <w:suff w:val="tab"/>
      <w:lvlText w:val="%8."/>
      <w:lvlJc w:val="left"/>
      <w:pPr>
        <w:ind w:left="5760" w:hanging="360"/>
      </w:pPr>
    </w:lvl>
    <w:lvl w:ilvl="8">
      <w:start w:val="1"/>
      <w:numFmt w:val="decimal"/>
      <w:isLgl w:val="false"/>
      <w:suff w:val="tab"/>
      <w:lvlText w:val="%9."/>
      <w:lvlJc w:val="left"/>
      <w:pPr>
        <w:ind w:left="6480" w:hanging="360"/>
      </w:pPr>
    </w:lvl>
  </w:abstractNum>
  <w:abstractNum w:abstractNumId="6">
    <w:multiLevelType w:val="hybridMultilevel"/>
    <w:lvl w:ilvl="0">
      <w:start w:val="1"/>
      <w:numFmt w:val="decimal"/>
      <w:isLgl w:val="false"/>
      <w:suff w:val="tab"/>
      <w:lvlText w:val="%1."/>
      <w:lvlJc w:val="left"/>
      <w:pPr>
        <w:ind w:left="630" w:hanging="420"/>
      </w:pPr>
    </w:lvl>
    <w:lvl w:ilvl="1">
      <w:start w:val="1"/>
      <w:numFmt w:val="decimal"/>
      <w:isLgl w:val="false"/>
      <w:suff w:val="tab"/>
      <w:lvlText w:val="%2)"/>
      <w:lvlJc w:val="left"/>
      <w:pPr>
        <w:ind w:left="990" w:hanging="360"/>
      </w:pPr>
    </w:lvl>
    <w:lvl w:ilvl="2">
      <w:start w:val="1"/>
      <w:numFmt w:val="decimal"/>
      <w:isLgl w:val="false"/>
      <w:suff w:val="tab"/>
      <w:lvlText w:val="%3."/>
      <w:lvlJc w:val="right"/>
      <w:pPr>
        <w:ind w:left="1470" w:hanging="420"/>
      </w:pPr>
    </w:lvl>
    <w:lvl w:ilvl="3">
      <w:start w:val="1"/>
      <w:numFmt w:val="decimal"/>
      <w:isLgl w:val="false"/>
      <w:suff w:val="tab"/>
      <w:lvlText w:val="%4."/>
      <w:lvlJc w:val="left"/>
      <w:pPr>
        <w:ind w:left="1890" w:hanging="420"/>
      </w:pPr>
    </w:lvl>
    <w:lvl w:ilvl="4">
      <w:start w:val="1"/>
      <w:numFmt w:val="lowerLetter"/>
      <w:isLgl w:val="false"/>
      <w:suff w:val="tab"/>
      <w:lvlText w:val="%5)"/>
      <w:lvlJc w:val="left"/>
      <w:pPr>
        <w:ind w:left="2310" w:hanging="420"/>
      </w:pPr>
    </w:lvl>
    <w:lvl w:ilvl="5">
      <w:start w:val="1"/>
      <w:numFmt w:val="decimal"/>
      <w:isLgl w:val="false"/>
      <w:suff w:val="tab"/>
      <w:lvlText w:val="%6."/>
      <w:lvlJc w:val="right"/>
      <w:pPr>
        <w:ind w:left="2730" w:hanging="420"/>
      </w:pPr>
    </w:lvl>
    <w:lvl w:ilvl="6">
      <w:start w:val="1"/>
      <w:numFmt w:val="decimal"/>
      <w:isLgl w:val="false"/>
      <w:suff w:val="tab"/>
      <w:lvlText w:val="%7."/>
      <w:lvlJc w:val="left"/>
      <w:pPr>
        <w:ind w:left="3150" w:hanging="420"/>
      </w:pPr>
    </w:lvl>
    <w:lvl w:ilvl="7">
      <w:start w:val="1"/>
      <w:numFmt w:val="lowerLetter"/>
      <w:isLgl w:val="false"/>
      <w:suff w:val="tab"/>
      <w:lvlText w:val="%8)"/>
      <w:lvlJc w:val="left"/>
      <w:pPr>
        <w:ind w:left="3570" w:hanging="420"/>
      </w:pPr>
    </w:lvl>
    <w:lvl w:ilvl="8">
      <w:start w:val="1"/>
      <w:numFmt w:val="decimal"/>
      <w:isLgl w:val="false"/>
      <w:suff w:val="tab"/>
      <w:lvlText w:val="%9."/>
      <w:lvlJc w:val="right"/>
      <w:pPr>
        <w:ind w:left="3990" w:hanging="420"/>
      </w:pPr>
    </w:lvl>
  </w:abstractNum>
  <w:abstractNum w:abstractNumId="7">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2"/>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3"/>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22">
    <w:name w:val="Heading 1"/>
    <w:basedOn w:val="1000"/>
    <w:next w:val="1000"/>
    <w:link w:val="823"/>
    <w:uiPriority w:val="9"/>
    <w:qFormat/>
    <w:pPr>
      <w:keepLines/>
      <w:keepNext/>
      <w:spacing w:before="480" w:after="200"/>
      <w:outlineLvl w:val="0"/>
    </w:pPr>
    <w:rPr>
      <w:rFonts w:ascii="Arial" w:hAnsi="Arial" w:eastAsia="Arial" w:cs="Arial"/>
      <w:sz w:val="40"/>
      <w:szCs w:val="40"/>
    </w:rPr>
  </w:style>
  <w:style w:type="character" w:styleId="823">
    <w:name w:val="Heading 1 Char"/>
    <w:link w:val="822"/>
    <w:uiPriority w:val="9"/>
    <w:rPr>
      <w:rFonts w:ascii="Arial" w:hAnsi="Arial" w:eastAsia="Arial" w:cs="Arial"/>
      <w:sz w:val="40"/>
      <w:szCs w:val="40"/>
    </w:rPr>
  </w:style>
  <w:style w:type="paragraph" w:styleId="824">
    <w:name w:val="Heading 2"/>
    <w:basedOn w:val="1000"/>
    <w:next w:val="1000"/>
    <w:link w:val="825"/>
    <w:uiPriority w:val="9"/>
    <w:unhideWhenUsed/>
    <w:qFormat/>
    <w:pPr>
      <w:keepLines/>
      <w:keepNext/>
      <w:spacing w:before="360" w:after="200"/>
      <w:outlineLvl w:val="1"/>
    </w:pPr>
    <w:rPr>
      <w:rFonts w:ascii="Arial" w:hAnsi="Arial" w:eastAsia="Arial" w:cs="Arial"/>
      <w:sz w:val="34"/>
    </w:rPr>
  </w:style>
  <w:style w:type="character" w:styleId="825">
    <w:name w:val="Heading 2 Char"/>
    <w:link w:val="824"/>
    <w:uiPriority w:val="9"/>
    <w:rPr>
      <w:rFonts w:ascii="Arial" w:hAnsi="Arial" w:eastAsia="Arial" w:cs="Arial"/>
      <w:sz w:val="34"/>
    </w:rPr>
  </w:style>
  <w:style w:type="paragraph" w:styleId="826">
    <w:name w:val="Heading 3"/>
    <w:basedOn w:val="1000"/>
    <w:next w:val="1000"/>
    <w:link w:val="827"/>
    <w:uiPriority w:val="9"/>
    <w:unhideWhenUsed/>
    <w:qFormat/>
    <w:pPr>
      <w:keepLines/>
      <w:keepNext/>
      <w:spacing w:before="320" w:after="200"/>
      <w:outlineLvl w:val="2"/>
    </w:pPr>
    <w:rPr>
      <w:rFonts w:ascii="Arial" w:hAnsi="Arial" w:eastAsia="Arial" w:cs="Arial"/>
      <w:sz w:val="30"/>
      <w:szCs w:val="30"/>
    </w:rPr>
  </w:style>
  <w:style w:type="character" w:styleId="827">
    <w:name w:val="Heading 3 Char"/>
    <w:link w:val="826"/>
    <w:uiPriority w:val="9"/>
    <w:rPr>
      <w:rFonts w:ascii="Arial" w:hAnsi="Arial" w:eastAsia="Arial" w:cs="Arial"/>
      <w:sz w:val="30"/>
      <w:szCs w:val="30"/>
    </w:rPr>
  </w:style>
  <w:style w:type="paragraph" w:styleId="828">
    <w:name w:val="Heading 4"/>
    <w:basedOn w:val="1000"/>
    <w:next w:val="1000"/>
    <w:link w:val="829"/>
    <w:uiPriority w:val="9"/>
    <w:unhideWhenUsed/>
    <w:qFormat/>
    <w:pPr>
      <w:keepLines/>
      <w:keepNext/>
      <w:spacing w:before="320" w:after="200"/>
      <w:outlineLvl w:val="3"/>
    </w:pPr>
    <w:rPr>
      <w:rFonts w:ascii="Arial" w:hAnsi="Arial" w:eastAsia="Arial" w:cs="Arial"/>
      <w:b/>
      <w:bCs/>
      <w:sz w:val="26"/>
      <w:szCs w:val="26"/>
    </w:rPr>
  </w:style>
  <w:style w:type="character" w:styleId="829">
    <w:name w:val="Heading 4 Char"/>
    <w:link w:val="828"/>
    <w:uiPriority w:val="9"/>
    <w:rPr>
      <w:rFonts w:ascii="Arial" w:hAnsi="Arial" w:eastAsia="Arial" w:cs="Arial"/>
      <w:b/>
      <w:bCs/>
      <w:sz w:val="26"/>
      <w:szCs w:val="26"/>
    </w:rPr>
  </w:style>
  <w:style w:type="paragraph" w:styleId="830">
    <w:name w:val="Heading 5"/>
    <w:basedOn w:val="1000"/>
    <w:next w:val="1000"/>
    <w:link w:val="831"/>
    <w:uiPriority w:val="9"/>
    <w:unhideWhenUsed/>
    <w:qFormat/>
    <w:pPr>
      <w:keepLines/>
      <w:keepNext/>
      <w:spacing w:before="320" w:after="200"/>
      <w:outlineLvl w:val="4"/>
    </w:pPr>
    <w:rPr>
      <w:rFonts w:ascii="Arial" w:hAnsi="Arial" w:eastAsia="Arial" w:cs="Arial"/>
      <w:b/>
      <w:bCs/>
      <w:sz w:val="24"/>
      <w:szCs w:val="24"/>
    </w:rPr>
  </w:style>
  <w:style w:type="character" w:styleId="831">
    <w:name w:val="Heading 5 Char"/>
    <w:link w:val="830"/>
    <w:uiPriority w:val="9"/>
    <w:rPr>
      <w:rFonts w:ascii="Arial" w:hAnsi="Arial" w:eastAsia="Arial" w:cs="Arial"/>
      <w:b/>
      <w:bCs/>
      <w:sz w:val="24"/>
      <w:szCs w:val="24"/>
    </w:rPr>
  </w:style>
  <w:style w:type="paragraph" w:styleId="832">
    <w:name w:val="Heading 6"/>
    <w:basedOn w:val="1000"/>
    <w:next w:val="1000"/>
    <w:link w:val="833"/>
    <w:uiPriority w:val="9"/>
    <w:unhideWhenUsed/>
    <w:qFormat/>
    <w:pPr>
      <w:keepLines/>
      <w:keepNext/>
      <w:spacing w:before="320" w:after="200"/>
      <w:outlineLvl w:val="5"/>
    </w:pPr>
    <w:rPr>
      <w:rFonts w:ascii="Arial" w:hAnsi="Arial" w:eastAsia="Arial" w:cs="Arial"/>
      <w:b/>
      <w:bCs/>
      <w:sz w:val="22"/>
      <w:szCs w:val="22"/>
    </w:rPr>
  </w:style>
  <w:style w:type="character" w:styleId="833">
    <w:name w:val="Heading 6 Char"/>
    <w:link w:val="832"/>
    <w:uiPriority w:val="9"/>
    <w:rPr>
      <w:rFonts w:ascii="Arial" w:hAnsi="Arial" w:eastAsia="Arial" w:cs="Arial"/>
      <w:b/>
      <w:bCs/>
      <w:sz w:val="22"/>
      <w:szCs w:val="22"/>
    </w:rPr>
  </w:style>
  <w:style w:type="paragraph" w:styleId="834">
    <w:name w:val="Heading 7"/>
    <w:basedOn w:val="1000"/>
    <w:next w:val="1000"/>
    <w:link w:val="835"/>
    <w:uiPriority w:val="9"/>
    <w:unhideWhenUsed/>
    <w:qFormat/>
    <w:pPr>
      <w:keepLines/>
      <w:keepNext/>
      <w:spacing w:before="320" w:after="200"/>
      <w:outlineLvl w:val="6"/>
    </w:pPr>
    <w:rPr>
      <w:rFonts w:ascii="Arial" w:hAnsi="Arial" w:eastAsia="Arial" w:cs="Arial"/>
      <w:b/>
      <w:bCs/>
      <w:i/>
      <w:iCs/>
      <w:sz w:val="22"/>
      <w:szCs w:val="22"/>
    </w:rPr>
  </w:style>
  <w:style w:type="character" w:styleId="835">
    <w:name w:val="Heading 7 Char"/>
    <w:link w:val="834"/>
    <w:uiPriority w:val="9"/>
    <w:rPr>
      <w:rFonts w:ascii="Arial" w:hAnsi="Arial" w:eastAsia="Arial" w:cs="Arial"/>
      <w:b/>
      <w:bCs/>
      <w:i/>
      <w:iCs/>
      <w:sz w:val="22"/>
      <w:szCs w:val="22"/>
    </w:rPr>
  </w:style>
  <w:style w:type="paragraph" w:styleId="836">
    <w:name w:val="Heading 8"/>
    <w:basedOn w:val="1000"/>
    <w:next w:val="1000"/>
    <w:link w:val="837"/>
    <w:uiPriority w:val="9"/>
    <w:unhideWhenUsed/>
    <w:qFormat/>
    <w:pPr>
      <w:keepLines/>
      <w:keepNext/>
      <w:spacing w:before="320" w:after="200"/>
      <w:outlineLvl w:val="7"/>
    </w:pPr>
    <w:rPr>
      <w:rFonts w:ascii="Arial" w:hAnsi="Arial" w:eastAsia="Arial" w:cs="Arial"/>
      <w:i/>
      <w:iCs/>
      <w:sz w:val="22"/>
      <w:szCs w:val="22"/>
    </w:rPr>
  </w:style>
  <w:style w:type="character" w:styleId="837">
    <w:name w:val="Heading 8 Char"/>
    <w:link w:val="836"/>
    <w:uiPriority w:val="9"/>
    <w:rPr>
      <w:rFonts w:ascii="Arial" w:hAnsi="Arial" w:eastAsia="Arial" w:cs="Arial"/>
      <w:i/>
      <w:iCs/>
      <w:sz w:val="22"/>
      <w:szCs w:val="22"/>
    </w:rPr>
  </w:style>
  <w:style w:type="paragraph" w:styleId="838">
    <w:name w:val="Heading 9"/>
    <w:basedOn w:val="1000"/>
    <w:next w:val="1000"/>
    <w:link w:val="839"/>
    <w:uiPriority w:val="9"/>
    <w:unhideWhenUsed/>
    <w:qFormat/>
    <w:pPr>
      <w:keepLines/>
      <w:keepNext/>
      <w:spacing w:before="320" w:after="200"/>
      <w:outlineLvl w:val="8"/>
    </w:pPr>
    <w:rPr>
      <w:rFonts w:ascii="Arial" w:hAnsi="Arial" w:eastAsia="Arial" w:cs="Arial"/>
      <w:i/>
      <w:iCs/>
      <w:sz w:val="21"/>
      <w:szCs w:val="21"/>
    </w:rPr>
  </w:style>
  <w:style w:type="character" w:styleId="839">
    <w:name w:val="Heading 9 Char"/>
    <w:link w:val="838"/>
    <w:uiPriority w:val="9"/>
    <w:rPr>
      <w:rFonts w:ascii="Arial" w:hAnsi="Arial" w:eastAsia="Arial" w:cs="Arial"/>
      <w:i/>
      <w:iCs/>
      <w:sz w:val="21"/>
      <w:szCs w:val="21"/>
    </w:rPr>
  </w:style>
  <w:style w:type="paragraph" w:styleId="840">
    <w:name w:val="List Paragraph"/>
    <w:basedOn w:val="1000"/>
    <w:uiPriority w:val="34"/>
    <w:qFormat/>
    <w:pPr>
      <w:contextualSpacing/>
      <w:ind w:left="720"/>
    </w:pPr>
  </w:style>
  <w:style w:type="paragraph" w:styleId="841">
    <w:name w:val="No Spacing"/>
    <w:uiPriority w:val="1"/>
    <w:qFormat/>
    <w:pPr>
      <w:spacing w:before="0" w:after="0" w:line="240" w:lineRule="auto"/>
    </w:pPr>
  </w:style>
  <w:style w:type="paragraph" w:styleId="842">
    <w:name w:val="Title"/>
    <w:basedOn w:val="1000"/>
    <w:next w:val="1000"/>
    <w:link w:val="843"/>
    <w:uiPriority w:val="10"/>
    <w:qFormat/>
    <w:pPr>
      <w:contextualSpacing/>
      <w:spacing w:before="300" w:after="200"/>
    </w:pPr>
    <w:rPr>
      <w:sz w:val="48"/>
      <w:szCs w:val="48"/>
    </w:rPr>
  </w:style>
  <w:style w:type="character" w:styleId="843">
    <w:name w:val="Title Char"/>
    <w:link w:val="842"/>
    <w:uiPriority w:val="10"/>
    <w:rPr>
      <w:sz w:val="48"/>
      <w:szCs w:val="48"/>
    </w:rPr>
  </w:style>
  <w:style w:type="paragraph" w:styleId="844">
    <w:name w:val="Subtitle"/>
    <w:basedOn w:val="1000"/>
    <w:next w:val="1000"/>
    <w:link w:val="845"/>
    <w:uiPriority w:val="11"/>
    <w:qFormat/>
    <w:pPr>
      <w:spacing w:before="200" w:after="200"/>
    </w:pPr>
    <w:rPr>
      <w:sz w:val="24"/>
      <w:szCs w:val="24"/>
    </w:rPr>
  </w:style>
  <w:style w:type="character" w:styleId="845">
    <w:name w:val="Subtitle Char"/>
    <w:link w:val="844"/>
    <w:uiPriority w:val="11"/>
    <w:rPr>
      <w:sz w:val="24"/>
      <w:szCs w:val="24"/>
    </w:rPr>
  </w:style>
  <w:style w:type="paragraph" w:styleId="846">
    <w:name w:val="Quote"/>
    <w:basedOn w:val="1000"/>
    <w:next w:val="1000"/>
    <w:link w:val="847"/>
    <w:uiPriority w:val="29"/>
    <w:qFormat/>
    <w:pPr>
      <w:ind w:left="720" w:right="720"/>
    </w:pPr>
    <w:rPr>
      <w:i/>
    </w:rPr>
  </w:style>
  <w:style w:type="character" w:styleId="847">
    <w:name w:val="Quote Char"/>
    <w:link w:val="846"/>
    <w:uiPriority w:val="29"/>
    <w:rPr>
      <w:i/>
    </w:rPr>
  </w:style>
  <w:style w:type="paragraph" w:styleId="848">
    <w:name w:val="Intense Quote"/>
    <w:basedOn w:val="1000"/>
    <w:next w:val="1000"/>
    <w:link w:val="84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9">
    <w:name w:val="Intense Quote Char"/>
    <w:link w:val="848"/>
    <w:uiPriority w:val="30"/>
    <w:rPr>
      <w:i/>
    </w:rPr>
  </w:style>
  <w:style w:type="paragraph" w:styleId="850">
    <w:name w:val="Header"/>
    <w:basedOn w:val="1000"/>
    <w:link w:val="851"/>
    <w:uiPriority w:val="99"/>
    <w:unhideWhenUsed/>
    <w:pPr>
      <w:spacing w:after="0" w:line="240" w:lineRule="auto"/>
      <w:tabs>
        <w:tab w:val="center" w:pos="7143" w:leader="none"/>
        <w:tab w:val="right" w:pos="14287" w:leader="none"/>
      </w:tabs>
    </w:pPr>
  </w:style>
  <w:style w:type="character" w:styleId="851">
    <w:name w:val="Header Char"/>
    <w:link w:val="850"/>
    <w:uiPriority w:val="99"/>
  </w:style>
  <w:style w:type="paragraph" w:styleId="852">
    <w:name w:val="Footer"/>
    <w:basedOn w:val="1000"/>
    <w:link w:val="855"/>
    <w:uiPriority w:val="99"/>
    <w:unhideWhenUsed/>
    <w:pPr>
      <w:spacing w:after="0" w:line="240" w:lineRule="auto"/>
      <w:tabs>
        <w:tab w:val="center" w:pos="7143" w:leader="none"/>
        <w:tab w:val="right" w:pos="14287" w:leader="none"/>
      </w:tabs>
    </w:pPr>
  </w:style>
  <w:style w:type="character" w:styleId="853">
    <w:name w:val="Footer Char"/>
    <w:link w:val="852"/>
    <w:uiPriority w:val="99"/>
  </w:style>
  <w:style w:type="paragraph" w:styleId="854">
    <w:name w:val="Caption"/>
    <w:basedOn w:val="1000"/>
    <w:next w:val="1000"/>
    <w:uiPriority w:val="35"/>
    <w:semiHidden/>
    <w:unhideWhenUsed/>
    <w:qFormat/>
    <w:pPr>
      <w:spacing w:line="276" w:lineRule="auto"/>
    </w:pPr>
    <w:rPr>
      <w:b/>
      <w:bCs/>
      <w:color w:val="4f81bd" w:themeColor="accent1"/>
      <w:sz w:val="18"/>
      <w:szCs w:val="18"/>
    </w:rPr>
  </w:style>
  <w:style w:type="character" w:styleId="855">
    <w:name w:val="Caption Char"/>
    <w:basedOn w:val="854"/>
    <w:link w:val="852"/>
    <w:uiPriority w:val="99"/>
  </w:style>
  <w:style w:type="table" w:styleId="85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5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5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6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6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6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6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6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6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6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7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7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7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7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7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7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7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7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8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8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8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8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9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9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9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9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9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9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9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9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0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0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0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0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0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0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0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0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0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0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1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1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1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1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1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1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1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1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1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2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2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2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2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2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2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2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2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2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2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3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3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3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3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3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3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3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3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3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4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4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4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5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5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5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5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5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5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5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5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5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5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6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6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6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6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6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6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6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6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6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6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7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7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7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7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7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8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8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82">
    <w:name w:val="Hyperlink"/>
    <w:uiPriority w:val="99"/>
    <w:unhideWhenUsed/>
    <w:rPr>
      <w:color w:val="0000ff" w:themeColor="hyperlink"/>
      <w:u w:val="single"/>
    </w:rPr>
  </w:style>
  <w:style w:type="paragraph" w:styleId="983">
    <w:name w:val="footnote text"/>
    <w:basedOn w:val="1000"/>
    <w:link w:val="984"/>
    <w:uiPriority w:val="99"/>
    <w:semiHidden/>
    <w:unhideWhenUsed/>
    <w:pPr>
      <w:spacing w:after="40" w:line="240" w:lineRule="auto"/>
    </w:pPr>
    <w:rPr>
      <w:sz w:val="18"/>
    </w:rPr>
  </w:style>
  <w:style w:type="character" w:styleId="984">
    <w:name w:val="Footnote Text Char"/>
    <w:link w:val="983"/>
    <w:uiPriority w:val="99"/>
    <w:rPr>
      <w:sz w:val="18"/>
    </w:rPr>
  </w:style>
  <w:style w:type="character" w:styleId="985">
    <w:name w:val="footnote reference"/>
    <w:uiPriority w:val="99"/>
    <w:unhideWhenUsed/>
    <w:rPr>
      <w:vertAlign w:val="superscript"/>
    </w:rPr>
  </w:style>
  <w:style w:type="paragraph" w:styleId="986">
    <w:name w:val="endnote text"/>
    <w:basedOn w:val="1000"/>
    <w:link w:val="987"/>
    <w:uiPriority w:val="99"/>
    <w:semiHidden/>
    <w:unhideWhenUsed/>
    <w:pPr>
      <w:spacing w:after="0" w:line="240" w:lineRule="auto"/>
    </w:pPr>
    <w:rPr>
      <w:sz w:val="20"/>
    </w:rPr>
  </w:style>
  <w:style w:type="character" w:styleId="987">
    <w:name w:val="Endnote Text Char"/>
    <w:link w:val="986"/>
    <w:uiPriority w:val="99"/>
    <w:rPr>
      <w:sz w:val="20"/>
    </w:rPr>
  </w:style>
  <w:style w:type="character" w:styleId="988">
    <w:name w:val="endnote reference"/>
    <w:uiPriority w:val="99"/>
    <w:semiHidden/>
    <w:unhideWhenUsed/>
    <w:rPr>
      <w:vertAlign w:val="superscript"/>
    </w:rPr>
  </w:style>
  <w:style w:type="paragraph" w:styleId="989">
    <w:name w:val="toc 1"/>
    <w:basedOn w:val="1000"/>
    <w:next w:val="1000"/>
    <w:uiPriority w:val="39"/>
    <w:unhideWhenUsed/>
    <w:pPr>
      <w:ind w:left="0" w:right="0" w:firstLine="0"/>
      <w:spacing w:after="57"/>
    </w:pPr>
  </w:style>
  <w:style w:type="paragraph" w:styleId="990">
    <w:name w:val="toc 2"/>
    <w:basedOn w:val="1000"/>
    <w:next w:val="1000"/>
    <w:uiPriority w:val="39"/>
    <w:unhideWhenUsed/>
    <w:pPr>
      <w:ind w:left="283" w:right="0" w:firstLine="0"/>
      <w:spacing w:after="57"/>
    </w:pPr>
  </w:style>
  <w:style w:type="paragraph" w:styleId="991">
    <w:name w:val="toc 3"/>
    <w:basedOn w:val="1000"/>
    <w:next w:val="1000"/>
    <w:uiPriority w:val="39"/>
    <w:unhideWhenUsed/>
    <w:pPr>
      <w:ind w:left="567" w:right="0" w:firstLine="0"/>
      <w:spacing w:after="57"/>
    </w:pPr>
  </w:style>
  <w:style w:type="paragraph" w:styleId="992">
    <w:name w:val="toc 4"/>
    <w:basedOn w:val="1000"/>
    <w:next w:val="1000"/>
    <w:uiPriority w:val="39"/>
    <w:unhideWhenUsed/>
    <w:pPr>
      <w:ind w:left="850" w:right="0" w:firstLine="0"/>
      <w:spacing w:after="57"/>
    </w:pPr>
  </w:style>
  <w:style w:type="paragraph" w:styleId="993">
    <w:name w:val="toc 5"/>
    <w:basedOn w:val="1000"/>
    <w:next w:val="1000"/>
    <w:uiPriority w:val="39"/>
    <w:unhideWhenUsed/>
    <w:pPr>
      <w:ind w:left="1134" w:right="0" w:firstLine="0"/>
      <w:spacing w:after="57"/>
    </w:pPr>
  </w:style>
  <w:style w:type="paragraph" w:styleId="994">
    <w:name w:val="toc 6"/>
    <w:basedOn w:val="1000"/>
    <w:next w:val="1000"/>
    <w:uiPriority w:val="39"/>
    <w:unhideWhenUsed/>
    <w:pPr>
      <w:ind w:left="1417" w:right="0" w:firstLine="0"/>
      <w:spacing w:after="57"/>
    </w:pPr>
  </w:style>
  <w:style w:type="paragraph" w:styleId="995">
    <w:name w:val="toc 7"/>
    <w:basedOn w:val="1000"/>
    <w:next w:val="1000"/>
    <w:uiPriority w:val="39"/>
    <w:unhideWhenUsed/>
    <w:pPr>
      <w:ind w:left="1701" w:right="0" w:firstLine="0"/>
      <w:spacing w:after="57"/>
    </w:pPr>
  </w:style>
  <w:style w:type="paragraph" w:styleId="996">
    <w:name w:val="toc 8"/>
    <w:basedOn w:val="1000"/>
    <w:next w:val="1000"/>
    <w:uiPriority w:val="39"/>
    <w:unhideWhenUsed/>
    <w:pPr>
      <w:ind w:left="1984" w:right="0" w:firstLine="0"/>
      <w:spacing w:after="57"/>
    </w:pPr>
  </w:style>
  <w:style w:type="paragraph" w:styleId="997">
    <w:name w:val="toc 9"/>
    <w:basedOn w:val="1000"/>
    <w:next w:val="1000"/>
    <w:uiPriority w:val="39"/>
    <w:unhideWhenUsed/>
    <w:pPr>
      <w:ind w:left="2268" w:right="0" w:firstLine="0"/>
      <w:spacing w:after="57"/>
    </w:pPr>
  </w:style>
  <w:style w:type="paragraph" w:styleId="998">
    <w:name w:val="TOC Heading"/>
    <w:uiPriority w:val="39"/>
    <w:unhideWhenUsed/>
  </w:style>
  <w:style w:type="paragraph" w:styleId="999">
    <w:name w:val="table of figures"/>
    <w:basedOn w:val="1000"/>
    <w:next w:val="1000"/>
    <w:uiPriority w:val="99"/>
    <w:unhideWhenUsed/>
    <w:pPr>
      <w:spacing w:after="0" w:afterAutospacing="0"/>
    </w:pPr>
  </w:style>
  <w:style w:type="paragraph" w:styleId="1000" w:default="1">
    <w:name w:val="Normal"/>
    <w:next w:val="1012"/>
    <w:link w:val="1000"/>
    <w:qFormat/>
    <w:pPr>
      <w:jc w:val="both"/>
    </w:pPr>
    <w:rPr>
      <w:sz w:val="21"/>
      <w:szCs w:val="24"/>
      <w:lang w:val="en-US" w:eastAsia="zh-CN" w:bidi="ar-SA"/>
    </w:rPr>
  </w:style>
  <w:style w:type="paragraph" w:styleId="1001">
    <w:name w:val="标题 1"/>
    <w:basedOn w:val="1000"/>
    <w:next w:val="1000"/>
    <w:link w:val="1015"/>
    <w:uiPriority w:val="99"/>
    <w:qFormat/>
    <w:pPr>
      <w:jc w:val="center"/>
      <w:keepLines/>
      <w:keepNext/>
      <w:spacing w:before="340" w:after="330" w:line="578" w:lineRule="auto"/>
      <w:widowControl w:val="off"/>
      <w:outlineLvl w:val="0"/>
    </w:pPr>
    <w:rPr>
      <w:b/>
      <w:bCs/>
      <w:sz w:val="44"/>
      <w:szCs w:val="44"/>
    </w:rPr>
  </w:style>
  <w:style w:type="paragraph" w:styleId="1002">
    <w:name w:val="标题 2"/>
    <w:basedOn w:val="1000"/>
    <w:next w:val="1000"/>
    <w:link w:val="1016"/>
    <w:uiPriority w:val="99"/>
    <w:qFormat/>
    <w:pPr>
      <w:keepLines/>
      <w:keepNext/>
      <w:spacing w:before="260" w:after="260" w:line="415" w:lineRule="auto"/>
      <w:widowControl w:val="off"/>
      <w:outlineLvl w:val="1"/>
    </w:pPr>
    <w:rPr>
      <w:rFonts w:ascii="Arial" w:hAnsi="Arial" w:eastAsia="黑体"/>
      <w:b/>
      <w:bCs/>
      <w:sz w:val="32"/>
      <w:szCs w:val="32"/>
    </w:rPr>
  </w:style>
  <w:style w:type="paragraph" w:styleId="1003">
    <w:name w:val="标题 3"/>
    <w:basedOn w:val="1000"/>
    <w:next w:val="1000"/>
    <w:link w:val="1017"/>
    <w:uiPriority w:val="99"/>
    <w:qFormat/>
    <w:pPr>
      <w:keepLines/>
      <w:keepNext/>
      <w:spacing w:before="260" w:after="260" w:line="416" w:lineRule="auto"/>
      <w:widowControl w:val="off"/>
      <w:outlineLvl w:val="2"/>
    </w:pPr>
    <w:rPr>
      <w:b/>
      <w:bCs/>
      <w:sz w:val="32"/>
      <w:szCs w:val="32"/>
    </w:rPr>
  </w:style>
  <w:style w:type="paragraph" w:styleId="1004">
    <w:name w:val="标题 4"/>
    <w:basedOn w:val="1000"/>
    <w:next w:val="1000"/>
    <w:link w:val="1018"/>
    <w:uiPriority w:val="99"/>
    <w:qFormat/>
    <w:pPr>
      <w:keepLines/>
      <w:keepNext/>
      <w:spacing w:before="280" w:after="290" w:line="376" w:lineRule="auto"/>
      <w:widowControl w:val="off"/>
      <w:outlineLvl w:val="3"/>
    </w:pPr>
    <w:rPr>
      <w:rFonts w:ascii="Cambria" w:hAnsi="Cambria"/>
      <w:b/>
      <w:bCs/>
      <w:sz w:val="28"/>
      <w:szCs w:val="28"/>
    </w:rPr>
  </w:style>
  <w:style w:type="paragraph" w:styleId="1005">
    <w:name w:val="标题 5"/>
    <w:basedOn w:val="1000"/>
    <w:next w:val="1000"/>
    <w:link w:val="1019"/>
    <w:uiPriority w:val="99"/>
    <w:qFormat/>
    <w:pPr>
      <w:keepLines/>
      <w:keepNext/>
      <w:spacing w:before="280" w:after="290" w:line="376" w:lineRule="auto"/>
      <w:widowControl w:val="off"/>
      <w:outlineLvl w:val="4"/>
    </w:pPr>
    <w:rPr>
      <w:b/>
      <w:bCs/>
      <w:sz w:val="28"/>
      <w:szCs w:val="28"/>
    </w:rPr>
  </w:style>
  <w:style w:type="paragraph" w:styleId="1006">
    <w:name w:val="标题 6"/>
    <w:basedOn w:val="1000"/>
    <w:next w:val="1000"/>
    <w:link w:val="1020"/>
    <w:uiPriority w:val="99"/>
    <w:qFormat/>
    <w:pPr>
      <w:keepLines/>
      <w:keepNext/>
      <w:spacing w:before="240" w:after="64" w:line="320" w:lineRule="auto"/>
      <w:widowControl w:val="off"/>
      <w:outlineLvl w:val="5"/>
    </w:pPr>
    <w:rPr>
      <w:rFonts w:ascii="Cambria" w:hAnsi="Cambria"/>
      <w:b/>
      <w:bCs/>
      <w:sz w:val="24"/>
    </w:rPr>
  </w:style>
  <w:style w:type="paragraph" w:styleId="1007">
    <w:name w:val="标题 7"/>
    <w:basedOn w:val="1000"/>
    <w:next w:val="1000"/>
    <w:link w:val="1021"/>
    <w:uiPriority w:val="99"/>
    <w:qFormat/>
    <w:pPr>
      <w:keepLines/>
      <w:keepNext/>
      <w:spacing w:before="240" w:after="64" w:line="320" w:lineRule="auto"/>
      <w:widowControl w:val="off"/>
      <w:outlineLvl w:val="6"/>
    </w:pPr>
    <w:rPr>
      <w:b/>
      <w:bCs/>
      <w:sz w:val="24"/>
    </w:rPr>
  </w:style>
  <w:style w:type="paragraph" w:styleId="1008">
    <w:name w:val="标题 8"/>
    <w:basedOn w:val="1000"/>
    <w:next w:val="1000"/>
    <w:link w:val="1022"/>
    <w:uiPriority w:val="99"/>
    <w:qFormat/>
    <w:pPr>
      <w:keepLines/>
      <w:keepNext/>
      <w:spacing w:before="240" w:after="64" w:line="320" w:lineRule="auto"/>
      <w:widowControl w:val="off"/>
      <w:outlineLvl w:val="7"/>
    </w:pPr>
    <w:rPr>
      <w:rFonts w:ascii="Cambria" w:hAnsi="Cambria"/>
      <w:sz w:val="24"/>
    </w:rPr>
  </w:style>
  <w:style w:type="paragraph" w:styleId="1009">
    <w:name w:val="标题 9"/>
    <w:basedOn w:val="1000"/>
    <w:next w:val="1000"/>
    <w:link w:val="1023"/>
    <w:uiPriority w:val="99"/>
    <w:qFormat/>
    <w:pPr>
      <w:keepLines/>
      <w:keepNext/>
      <w:spacing w:before="240" w:after="64" w:line="320" w:lineRule="auto"/>
      <w:widowControl w:val="off"/>
      <w:outlineLvl w:val="8"/>
    </w:pPr>
    <w:rPr>
      <w:rFonts w:ascii="Cambria" w:hAnsi="Cambria"/>
      <w:szCs w:val="21"/>
    </w:rPr>
  </w:style>
  <w:style w:type="character" w:styleId="1010">
    <w:name w:val="默认段落字体"/>
    <w:next w:val="1010"/>
    <w:link w:val="1000"/>
    <w:uiPriority w:val="1"/>
    <w:unhideWhenUsed/>
  </w:style>
  <w:style w:type="table" w:styleId="1011">
    <w:name w:val="普通表格"/>
    <w:next w:val="1011"/>
    <w:link w:val="1000"/>
    <w:uiPriority w:val="99"/>
    <w:unhideWhenUsed/>
    <w:qFormat/>
    <w:tblPr/>
  </w:style>
  <w:style w:type="paragraph" w:styleId="1012">
    <w:name w:val="列出段落"/>
    <w:basedOn w:val="1000"/>
    <w:next w:val="1013"/>
    <w:link w:val="1000"/>
    <w:uiPriority w:val="34"/>
    <w:qFormat/>
    <w:pPr>
      <w:ind w:firstLine="420"/>
      <w:jc w:val="left"/>
    </w:pPr>
    <w:rPr>
      <w:rFonts w:ascii="宋体" w:hAnsi="宋体" w:cs="宋体"/>
      <w:sz w:val="24"/>
      <w:szCs w:val="20"/>
    </w:rPr>
  </w:style>
  <w:style w:type="paragraph" w:styleId="1013">
    <w:name w:val="批注文字"/>
    <w:basedOn w:val="1000"/>
    <w:next w:val="1013"/>
    <w:link w:val="1014"/>
    <w:uiPriority w:val="99"/>
    <w:qFormat/>
    <w:pPr>
      <w:contextualSpacing/>
      <w:jc w:val="left"/>
      <w:widowControl w:val="off"/>
    </w:pPr>
    <w:rPr>
      <w:color w:val="0000ff"/>
      <w:sz w:val="24"/>
    </w:rPr>
  </w:style>
  <w:style w:type="character" w:styleId="1014">
    <w:name w:val="批注文字 Char"/>
    <w:next w:val="1014"/>
    <w:link w:val="1013"/>
    <w:uiPriority w:val="99"/>
    <w:qFormat/>
    <w:rPr>
      <w:rFonts w:cs="Times New Roman"/>
      <w:color w:val="0000ff"/>
      <w:sz w:val="24"/>
      <w:szCs w:val="24"/>
      <w:lang w:val="en-US" w:eastAsia="zh-CN" w:bidi="ar-SA"/>
    </w:rPr>
  </w:style>
  <w:style w:type="character" w:styleId="1015">
    <w:name w:val="标题 1 Char"/>
    <w:next w:val="1015"/>
    <w:link w:val="1001"/>
    <w:uiPriority w:val="99"/>
    <w:qFormat/>
    <w:rPr>
      <w:rFonts w:cs="Times New Roman"/>
      <w:b/>
      <w:bCs/>
      <w:sz w:val="44"/>
      <w:szCs w:val="44"/>
    </w:rPr>
  </w:style>
  <w:style w:type="character" w:styleId="1016">
    <w:name w:val="标题 2 Char"/>
    <w:next w:val="1016"/>
    <w:link w:val="1002"/>
    <w:uiPriority w:val="99"/>
    <w:qFormat/>
    <w:rPr>
      <w:rFonts w:ascii="Arial" w:hAnsi="Arial" w:eastAsia="黑体" w:cs="Arial"/>
      <w:b/>
      <w:bCs/>
      <w:sz w:val="32"/>
      <w:szCs w:val="32"/>
    </w:rPr>
  </w:style>
  <w:style w:type="character" w:styleId="1017">
    <w:name w:val="标题 3 Char"/>
    <w:next w:val="1017"/>
    <w:link w:val="1003"/>
    <w:uiPriority w:val="99"/>
    <w:qFormat/>
    <w:rPr>
      <w:rFonts w:cs="Times New Roman"/>
      <w:b/>
      <w:bCs/>
      <w:sz w:val="32"/>
      <w:szCs w:val="32"/>
    </w:rPr>
  </w:style>
  <w:style w:type="character" w:styleId="1018">
    <w:name w:val="标题 4 Char"/>
    <w:next w:val="1018"/>
    <w:link w:val="1004"/>
    <w:uiPriority w:val="99"/>
    <w:qFormat/>
    <w:rPr>
      <w:rFonts w:ascii="Cambria" w:hAnsi="Cambria" w:cs="Times New Roman"/>
      <w:b/>
      <w:bCs/>
      <w:sz w:val="28"/>
      <w:szCs w:val="28"/>
    </w:rPr>
  </w:style>
  <w:style w:type="character" w:styleId="1019">
    <w:name w:val="标题 5 Char"/>
    <w:next w:val="1019"/>
    <w:link w:val="1005"/>
    <w:uiPriority w:val="99"/>
    <w:qFormat/>
    <w:rPr>
      <w:rFonts w:cs="Times New Roman"/>
      <w:b/>
      <w:bCs/>
      <w:sz w:val="28"/>
      <w:szCs w:val="28"/>
    </w:rPr>
  </w:style>
  <w:style w:type="character" w:styleId="1020">
    <w:name w:val="标题 6 Char"/>
    <w:next w:val="1020"/>
    <w:link w:val="1006"/>
    <w:uiPriority w:val="99"/>
    <w:qFormat/>
    <w:rPr>
      <w:rFonts w:ascii="Cambria" w:hAnsi="Cambria" w:cs="Times New Roman"/>
      <w:b/>
      <w:bCs/>
      <w:sz w:val="24"/>
      <w:szCs w:val="24"/>
    </w:rPr>
  </w:style>
  <w:style w:type="character" w:styleId="1021">
    <w:name w:val="标题 7 Char"/>
    <w:next w:val="1021"/>
    <w:link w:val="1007"/>
    <w:uiPriority w:val="99"/>
    <w:qFormat/>
    <w:rPr>
      <w:rFonts w:cs="Times New Roman"/>
      <w:b/>
      <w:bCs/>
      <w:sz w:val="24"/>
      <w:szCs w:val="24"/>
    </w:rPr>
  </w:style>
  <w:style w:type="character" w:styleId="1022">
    <w:name w:val="标题 8 Char"/>
    <w:next w:val="1022"/>
    <w:link w:val="1008"/>
    <w:uiPriority w:val="99"/>
    <w:qFormat/>
    <w:rPr>
      <w:rFonts w:ascii="Cambria" w:hAnsi="Cambria" w:cs="Times New Roman"/>
      <w:sz w:val="24"/>
      <w:szCs w:val="24"/>
    </w:rPr>
  </w:style>
  <w:style w:type="character" w:styleId="1023">
    <w:name w:val="标题 9 Char"/>
    <w:next w:val="1023"/>
    <w:link w:val="1009"/>
    <w:uiPriority w:val="99"/>
    <w:qFormat/>
    <w:rPr>
      <w:rFonts w:ascii="Cambria" w:hAnsi="Cambria" w:cs="Times New Roman"/>
      <w:sz w:val="21"/>
      <w:szCs w:val="21"/>
    </w:rPr>
  </w:style>
  <w:style w:type="paragraph" w:styleId="1024">
    <w:name w:val="正文缩进"/>
    <w:basedOn w:val="1000"/>
    <w:next w:val="1024"/>
    <w:link w:val="1000"/>
    <w:uiPriority w:val="99"/>
    <w:semiHidden/>
    <w:qFormat/>
    <w:pPr>
      <w:ind w:firstLine="420"/>
      <w:widowControl w:val="off"/>
    </w:pPr>
  </w:style>
  <w:style w:type="paragraph" w:styleId="1025">
    <w:name w:val="正文文本"/>
    <w:basedOn w:val="1000"/>
    <w:next w:val="1025"/>
    <w:link w:val="1026"/>
    <w:uiPriority w:val="99"/>
    <w:qFormat/>
    <w:rPr>
      <w:sz w:val="24"/>
    </w:rPr>
  </w:style>
  <w:style w:type="character" w:styleId="1026">
    <w:name w:val="正文文本 Char"/>
    <w:next w:val="1026"/>
    <w:link w:val="1025"/>
    <w:uiPriority w:val="99"/>
    <w:semiHidden/>
    <w:qFormat/>
    <w:rPr>
      <w:rFonts w:cs="Times New Roman"/>
      <w:sz w:val="24"/>
      <w:szCs w:val="24"/>
    </w:rPr>
  </w:style>
  <w:style w:type="paragraph" w:styleId="1027">
    <w:name w:val="目录 5"/>
    <w:basedOn w:val="1000"/>
    <w:next w:val="1000"/>
    <w:link w:val="1000"/>
    <w:uiPriority w:val="99"/>
    <w:semiHidden/>
    <w:qFormat/>
    <w:pPr>
      <w:ind w:left="840"/>
      <w:jc w:val="left"/>
    </w:pPr>
    <w:rPr>
      <w:sz w:val="18"/>
    </w:rPr>
  </w:style>
  <w:style w:type="paragraph" w:styleId="1028">
    <w:name w:val="目录 3"/>
    <w:basedOn w:val="1000"/>
    <w:next w:val="1000"/>
    <w:link w:val="1000"/>
    <w:uiPriority w:val="99"/>
    <w:semiHidden/>
    <w:qFormat/>
    <w:pPr>
      <w:ind w:left="420"/>
      <w:jc w:val="left"/>
    </w:pPr>
    <w:rPr>
      <w:i/>
      <w:sz w:val="20"/>
    </w:rPr>
  </w:style>
  <w:style w:type="paragraph" w:styleId="1029">
    <w:name w:val="纯文本"/>
    <w:basedOn w:val="1000"/>
    <w:next w:val="1029"/>
    <w:link w:val="1030"/>
    <w:uiPriority w:val="99"/>
    <w:qFormat/>
    <w:pPr>
      <w:widowControl w:val="off"/>
    </w:pPr>
    <w:rPr>
      <w:rFonts w:ascii="宋体" w:hAnsi="Courier New"/>
      <w:sz w:val="20"/>
      <w:szCs w:val="20"/>
    </w:rPr>
  </w:style>
  <w:style w:type="character" w:styleId="1030">
    <w:name w:val="纯文本 Char"/>
    <w:next w:val="1030"/>
    <w:link w:val="1029"/>
    <w:uiPriority w:val="99"/>
    <w:qFormat/>
    <w:rPr>
      <w:rFonts w:ascii="宋体" w:hAnsi="Courier New" w:cs="Times New Roman"/>
    </w:rPr>
  </w:style>
  <w:style w:type="paragraph" w:styleId="1031">
    <w:name w:val="日期"/>
    <w:basedOn w:val="1000"/>
    <w:next w:val="1000"/>
    <w:link w:val="1032"/>
    <w:uiPriority w:val="99"/>
    <w:qFormat/>
    <w:rPr>
      <w:sz w:val="24"/>
      <w:szCs w:val="20"/>
    </w:rPr>
  </w:style>
  <w:style w:type="character" w:styleId="1032">
    <w:name w:val="日期 Char"/>
    <w:next w:val="1032"/>
    <w:link w:val="1031"/>
    <w:uiPriority w:val="99"/>
    <w:qFormat/>
    <w:rPr>
      <w:rFonts w:cs="Times New Roman"/>
      <w:sz w:val="24"/>
    </w:rPr>
  </w:style>
  <w:style w:type="paragraph" w:styleId="1033">
    <w:name w:val="批注框文本"/>
    <w:basedOn w:val="1000"/>
    <w:next w:val="1033"/>
    <w:link w:val="1034"/>
    <w:rPr>
      <w:sz w:val="18"/>
      <w:szCs w:val="18"/>
    </w:rPr>
  </w:style>
  <w:style w:type="character" w:styleId="1034">
    <w:name w:val="批注框文本 Char"/>
    <w:next w:val="1034"/>
    <w:link w:val="1033"/>
    <w:qFormat/>
    <w:rPr>
      <w:rFonts w:cs="Times New Roman"/>
      <w:sz w:val="18"/>
      <w:szCs w:val="18"/>
    </w:rPr>
  </w:style>
  <w:style w:type="paragraph" w:styleId="1035">
    <w:name w:val="页脚"/>
    <w:basedOn w:val="1000"/>
    <w:next w:val="1035"/>
    <w:link w:val="1036"/>
    <w:qFormat/>
    <w:pPr>
      <w:jc w:val="left"/>
      <w:tabs>
        <w:tab w:val="center" w:pos="4153" w:leader="none"/>
        <w:tab w:val="right" w:pos="8306" w:leader="none"/>
      </w:tabs>
    </w:pPr>
    <w:rPr>
      <w:sz w:val="18"/>
      <w:szCs w:val="18"/>
    </w:rPr>
  </w:style>
  <w:style w:type="character" w:styleId="1036">
    <w:name w:val="页脚 Char"/>
    <w:next w:val="1036"/>
    <w:link w:val="1035"/>
    <w:qFormat/>
    <w:rPr>
      <w:rFonts w:cs="Times New Roman"/>
      <w:sz w:val="18"/>
      <w:szCs w:val="18"/>
    </w:rPr>
  </w:style>
  <w:style w:type="paragraph" w:styleId="1037">
    <w:name w:val="页眉"/>
    <w:basedOn w:val="1000"/>
    <w:next w:val="1037"/>
    <w:link w:val="1038"/>
    <w:qFormat/>
    <w:pPr>
      <w:jc w:val="center"/>
      <w:tabs>
        <w:tab w:val="center" w:pos="4153" w:leader="none"/>
        <w:tab w:val="right" w:pos="8306" w:leader="none"/>
      </w:tabs>
      <w:pBdr>
        <w:bottom w:val="single" w:color="000000" w:sz="6" w:space="1"/>
      </w:pBdr>
    </w:pPr>
    <w:rPr>
      <w:sz w:val="18"/>
      <w:szCs w:val="18"/>
    </w:rPr>
  </w:style>
  <w:style w:type="character" w:styleId="1038">
    <w:name w:val="页眉 Char"/>
    <w:next w:val="1038"/>
    <w:link w:val="1037"/>
    <w:qFormat/>
    <w:rPr>
      <w:rFonts w:cs="Times New Roman"/>
      <w:sz w:val="18"/>
      <w:szCs w:val="18"/>
    </w:rPr>
  </w:style>
  <w:style w:type="paragraph" w:styleId="1039">
    <w:name w:val="目录 1"/>
    <w:basedOn w:val="1000"/>
    <w:next w:val="1000"/>
    <w:link w:val="1000"/>
    <w:uiPriority w:val="39"/>
    <w:unhideWhenUsed/>
  </w:style>
  <w:style w:type="paragraph" w:styleId="1040">
    <w:name w:val="目录 4"/>
    <w:basedOn w:val="1000"/>
    <w:next w:val="1000"/>
    <w:link w:val="1000"/>
    <w:uiPriority w:val="99"/>
    <w:semiHidden/>
    <w:qFormat/>
    <w:pPr>
      <w:ind w:left="630"/>
      <w:jc w:val="left"/>
    </w:pPr>
    <w:rPr>
      <w:sz w:val="18"/>
    </w:rPr>
  </w:style>
  <w:style w:type="paragraph" w:styleId="1041">
    <w:name w:val="列表"/>
    <w:basedOn w:val="1042"/>
    <w:next w:val="1041"/>
    <w:link w:val="1000"/>
    <w:uiPriority w:val="99"/>
    <w:qFormat/>
    <w:pPr>
      <w:jc w:val="left"/>
      <w:spacing w:after="120"/>
    </w:pPr>
    <w:rPr>
      <w:rFonts w:eastAsia="宋体"/>
      <w:b w:val="0"/>
    </w:rPr>
  </w:style>
  <w:style w:type="paragraph" w:styleId="1042">
    <w:name w:val="BodyText1"/>
    <w:basedOn w:val="1000"/>
    <w:next w:val="1042"/>
    <w:link w:val="1043"/>
    <w:uiPriority w:val="99"/>
    <w:qFormat/>
    <w:pPr>
      <w:jc w:val="center"/>
    </w:pPr>
    <w:rPr>
      <w:rFonts w:eastAsia="幼圆"/>
      <w:b/>
      <w:sz w:val="24"/>
      <w:szCs w:val="20"/>
    </w:rPr>
  </w:style>
  <w:style w:type="character" w:styleId="1043">
    <w:name w:val="UserStyle_52"/>
    <w:next w:val="1043"/>
    <w:link w:val="1042"/>
    <w:uiPriority w:val="99"/>
    <w:qFormat/>
    <w:rPr>
      <w:rFonts w:eastAsia="幼圆"/>
      <w:b/>
      <w:sz w:val="24"/>
    </w:rPr>
  </w:style>
  <w:style w:type="paragraph" w:styleId="1044">
    <w:name w:val="目录 2"/>
    <w:basedOn w:val="1000"/>
    <w:next w:val="1000"/>
    <w:link w:val="1000"/>
    <w:semiHidden/>
    <w:qFormat/>
    <w:pPr>
      <w:ind w:left="240" w:firstLine="22"/>
      <w:jc w:val="left"/>
      <w:widowControl/>
      <w:tabs>
        <w:tab w:val="left" w:pos="960" w:leader="none"/>
        <w:tab w:val="right" w:pos="8296" w:leader="dot"/>
      </w:tabs>
    </w:pPr>
    <w:rPr>
      <w:rFonts w:ascii="Calibri" w:hAnsi="Calibri" w:eastAsia="仿宋_GB2312"/>
      <w:smallCaps/>
      <w:sz w:val="20"/>
      <w:szCs w:val="20"/>
      <w:lang w:val="fr-FR" w:eastAsia="fr-FR"/>
    </w:rPr>
  </w:style>
  <w:style w:type="paragraph" w:styleId="1045">
    <w:name w:val="HTML 预设格式"/>
    <w:basedOn w:val="1000"/>
    <w:next w:val="1045"/>
    <w:link w:val="1046"/>
    <w:uiPriority w:val="99"/>
    <w:unhideWhenUsed/>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046">
    <w:name w:val="HTML 预设格式 Char"/>
    <w:next w:val="1046"/>
    <w:link w:val="1045"/>
    <w:uiPriority w:val="99"/>
    <w:semiHidden/>
    <w:rPr>
      <w:rFonts w:ascii="宋体" w:hAnsi="宋体" w:cs="宋体"/>
      <w:sz w:val="24"/>
      <w:szCs w:val="24"/>
    </w:rPr>
  </w:style>
  <w:style w:type="paragraph" w:styleId="1047">
    <w:name w:val="普通(网站)"/>
    <w:basedOn w:val="1000"/>
    <w:next w:val="1047"/>
    <w:link w:val="1000"/>
    <w:uiPriority w:val="99"/>
    <w:qFormat/>
    <w:pPr>
      <w:jc w:val="left"/>
      <w:spacing w:before="100" w:beforeAutospacing="1" w:after="100" w:afterAutospacing="1"/>
    </w:pPr>
    <w:rPr>
      <w:rFonts w:ascii="Arial" w:hAnsi="Arial" w:cs="Arial"/>
      <w:sz w:val="24"/>
    </w:rPr>
  </w:style>
  <w:style w:type="paragraph" w:styleId="1048">
    <w:name w:val="标题"/>
    <w:basedOn w:val="1000"/>
    <w:next w:val="1048"/>
    <w:link w:val="1049"/>
    <w:uiPriority w:val="99"/>
    <w:qFormat/>
    <w:pPr>
      <w:jc w:val="center"/>
    </w:pPr>
    <w:rPr>
      <w:b/>
      <w:sz w:val="30"/>
      <w:szCs w:val="20"/>
    </w:rPr>
  </w:style>
  <w:style w:type="character" w:styleId="1049">
    <w:name w:val="标题 Char"/>
    <w:next w:val="1049"/>
    <w:link w:val="1048"/>
    <w:uiPriority w:val="99"/>
    <w:qFormat/>
    <w:rPr>
      <w:rFonts w:cs="Times New Roman"/>
      <w:b/>
      <w:sz w:val="30"/>
    </w:rPr>
  </w:style>
  <w:style w:type="paragraph" w:styleId="1050">
    <w:name w:val="批注主题"/>
    <w:basedOn w:val="1013"/>
    <w:next w:val="1013"/>
    <w:link w:val="1051"/>
    <w:qFormat/>
    <w:rPr>
      <w:b/>
      <w:bCs/>
      <w:color w:val="000000"/>
    </w:rPr>
  </w:style>
  <w:style w:type="character" w:styleId="1051">
    <w:name w:val="批注主题 Char"/>
    <w:next w:val="1051"/>
    <w:link w:val="1050"/>
    <w:qFormat/>
    <w:rPr>
      <w:rFonts w:cs="Times New Roman"/>
      <w:b/>
      <w:bCs/>
      <w:sz w:val="24"/>
      <w:szCs w:val="24"/>
    </w:rPr>
  </w:style>
  <w:style w:type="table" w:styleId="1052">
    <w:name w:val="网格型"/>
    <w:basedOn w:val="1011"/>
    <w:next w:val="1052"/>
    <w:link w:val="1000"/>
    <w:uiPriority w:val="59"/>
    <w:qFormat/>
    <w:tblPr/>
  </w:style>
  <w:style w:type="character" w:styleId="1053">
    <w:name w:val="已访问的超链接"/>
    <w:next w:val="1053"/>
    <w:link w:val="1000"/>
    <w:uiPriority w:val="99"/>
    <w:qFormat/>
    <w:rPr>
      <w:rFonts w:cs="Times New Roman"/>
      <w:color w:val="000000"/>
      <w:sz w:val="18"/>
    </w:rPr>
  </w:style>
  <w:style w:type="character" w:styleId="1054">
    <w:name w:val="强调"/>
    <w:next w:val="1054"/>
    <w:link w:val="1000"/>
    <w:uiPriority w:val="99"/>
    <w:qFormat/>
    <w:rPr>
      <w:rFonts w:cs="Times New Roman"/>
      <w:color w:val="cc0000"/>
    </w:rPr>
  </w:style>
  <w:style w:type="character" w:styleId="1055">
    <w:name w:val="HTML 打字机"/>
    <w:next w:val="1055"/>
    <w:link w:val="1000"/>
    <w:uiPriority w:val="99"/>
    <w:unhideWhenUsed/>
    <w:qFormat/>
    <w:rPr>
      <w:rFonts w:ascii="monospace" w:hAnsi="monospace" w:eastAsia="monospace" w:cs="monospace"/>
      <w:sz w:val="20"/>
    </w:rPr>
  </w:style>
  <w:style w:type="character" w:styleId="1056">
    <w:name w:val="HTML 缩写"/>
    <w:next w:val="1056"/>
    <w:link w:val="1000"/>
    <w:uiPriority w:val="99"/>
    <w:unhideWhenUsed/>
    <w:qFormat/>
  </w:style>
  <w:style w:type="character" w:styleId="1057">
    <w:name w:val="超链接"/>
    <w:next w:val="1057"/>
    <w:link w:val="1000"/>
    <w:qFormat/>
    <w:rPr>
      <w:rFonts w:cs="Times New Roman"/>
      <w:color w:val="000000"/>
      <w:sz w:val="18"/>
    </w:rPr>
  </w:style>
  <w:style w:type="character" w:styleId="1058">
    <w:name w:val="HTML 代码"/>
    <w:next w:val="1058"/>
    <w:link w:val="1000"/>
    <w:uiPriority w:val="99"/>
    <w:unhideWhenUsed/>
    <w:qFormat/>
    <w:rPr>
      <w:rFonts w:ascii="monospace" w:hAnsi="monospace" w:eastAsia="monospace" w:cs="monospace"/>
      <w:sz w:val="20"/>
    </w:rPr>
  </w:style>
  <w:style w:type="character" w:styleId="1059">
    <w:name w:val="批注引用"/>
    <w:next w:val="1059"/>
    <w:link w:val="1000"/>
    <w:uiPriority w:val="99"/>
    <w:qFormat/>
    <w:rPr>
      <w:rFonts w:cs="Times New Roman"/>
      <w:sz w:val="21"/>
      <w:szCs w:val="21"/>
    </w:rPr>
  </w:style>
  <w:style w:type="character" w:styleId="1060">
    <w:name w:val="HTML 引文"/>
    <w:next w:val="1060"/>
    <w:link w:val="1000"/>
    <w:uiPriority w:val="99"/>
    <w:unhideWhenUsed/>
    <w:qFormat/>
    <w:rPr>
      <w:color w:val="008000"/>
    </w:rPr>
  </w:style>
  <w:style w:type="character" w:styleId="1061">
    <w:name w:val="HTML 键盘"/>
    <w:next w:val="1061"/>
    <w:link w:val="1000"/>
    <w:uiPriority w:val="99"/>
    <w:unhideWhenUsed/>
    <w:qFormat/>
    <w:rPr>
      <w:rFonts w:ascii="monospace" w:hAnsi="monospace" w:eastAsia="monospace" w:cs="monospace"/>
      <w:sz w:val="20"/>
    </w:rPr>
  </w:style>
  <w:style w:type="character" w:styleId="1062">
    <w:name w:val="HTML 样本"/>
    <w:next w:val="1062"/>
    <w:link w:val="1000"/>
    <w:uiPriority w:val="99"/>
    <w:unhideWhenUsed/>
    <w:qFormat/>
    <w:rPr>
      <w:rFonts w:ascii="monospace" w:hAnsi="monospace" w:eastAsia="monospace" w:cs="monospace"/>
    </w:rPr>
  </w:style>
  <w:style w:type="character" w:styleId="1063">
    <w:name w:val="UserStyle_39"/>
    <w:next w:val="1063"/>
    <w:link w:val="1064"/>
    <w:uiPriority w:val="99"/>
    <w:qFormat/>
    <w:rPr>
      <w:rFonts w:ascii="Arial" w:hAnsi="Arial"/>
      <w:sz w:val="24"/>
    </w:rPr>
  </w:style>
  <w:style w:type="paragraph" w:styleId="1064">
    <w:name w:val="UserStyle_40"/>
    <w:basedOn w:val="1065"/>
    <w:next w:val="1064"/>
    <w:link w:val="1063"/>
    <w:uiPriority w:val="99"/>
    <w:qFormat/>
  </w:style>
  <w:style w:type="paragraph" w:styleId="1065">
    <w:name w:val="UserStyle_9"/>
    <w:basedOn w:val="1000"/>
    <w:next w:val="1065"/>
    <w:link w:val="1066"/>
    <w:uiPriority w:val="99"/>
    <w:qFormat/>
    <w:pPr>
      <w:ind w:left="3240" w:hanging="3240"/>
    </w:pPr>
    <w:rPr>
      <w:rFonts w:ascii="Arial" w:hAnsi="Arial"/>
      <w:sz w:val="24"/>
      <w:szCs w:val="20"/>
    </w:rPr>
  </w:style>
  <w:style w:type="character" w:styleId="1066">
    <w:name w:val="UserStyle_8"/>
    <w:next w:val="1066"/>
    <w:link w:val="1065"/>
    <w:uiPriority w:val="99"/>
    <w:qFormat/>
    <w:rPr>
      <w:rFonts w:ascii="Arial" w:hAnsi="Arial"/>
      <w:sz w:val="24"/>
    </w:rPr>
  </w:style>
  <w:style w:type="character" w:styleId="1067">
    <w:name w:val="UserStyle_35"/>
    <w:next w:val="1067"/>
    <w:link w:val="1000"/>
    <w:uiPriority w:val="99"/>
    <w:qFormat/>
    <w:rPr>
      <w:rFonts w:ascii="Cambria" w:hAnsi="Cambria"/>
      <w:b/>
      <w:sz w:val="24"/>
    </w:rPr>
  </w:style>
  <w:style w:type="character" w:styleId="1068">
    <w:name w:val="UserStyle_46"/>
    <w:next w:val="1068"/>
    <w:link w:val="1000"/>
    <w:uiPriority w:val="99"/>
    <w:qFormat/>
    <w:rPr>
      <w:rFonts w:ascii="Verdana" w:hAnsi="Verdana"/>
      <w:sz w:val="21"/>
    </w:rPr>
  </w:style>
  <w:style w:type="character" w:styleId="1069">
    <w:name w:val="UserStyle_14"/>
    <w:next w:val="1069"/>
    <w:link w:val="1000"/>
    <w:uiPriority w:val="99"/>
    <w:qFormat/>
    <w:rPr>
      <w:rFonts w:ascii="宋体" w:hAnsi="宋体" w:eastAsia="宋体"/>
      <w:color w:val="000000"/>
      <w:sz w:val="20"/>
    </w:rPr>
  </w:style>
  <w:style w:type="character" w:styleId="1070">
    <w:name w:val="UserStyle_47"/>
    <w:next w:val="1070"/>
    <w:link w:val="1071"/>
    <w:uiPriority w:val="99"/>
    <w:qFormat/>
    <w:rPr>
      <w:rFonts w:ascii="宋体" w:hAnsi="Courier New" w:eastAsia="楷体_GB2312"/>
      <w:sz w:val="26"/>
    </w:rPr>
  </w:style>
  <w:style w:type="paragraph" w:styleId="1071">
    <w:name w:val="UserStyle_48"/>
    <w:basedOn w:val="1000"/>
    <w:next w:val="1071"/>
    <w:link w:val="1070"/>
    <w:uiPriority w:val="99"/>
    <w:qFormat/>
    <w:rPr>
      <w:rFonts w:ascii="宋体" w:hAnsi="Courier New" w:eastAsia="楷体_GB2312"/>
      <w:sz w:val="26"/>
      <w:szCs w:val="20"/>
    </w:rPr>
  </w:style>
  <w:style w:type="character" w:styleId="1072">
    <w:name w:val="UserStyle_13"/>
    <w:next w:val="1072"/>
    <w:link w:val="1000"/>
    <w:uiPriority w:val="99"/>
    <w:qFormat/>
    <w:rPr>
      <w:rFonts w:ascii="宋体" w:hAnsi="宋体" w:eastAsia="宋体"/>
      <w:color w:val="000000"/>
      <w:sz w:val="24"/>
    </w:rPr>
  </w:style>
  <w:style w:type="character" w:styleId="1073">
    <w:name w:val="UserStyle_44"/>
    <w:next w:val="1073"/>
    <w:link w:val="1000"/>
    <w:uiPriority w:val="99"/>
    <w:qFormat/>
    <w:rPr>
      <w:rFonts w:ascii="Cambria" w:hAnsi="Cambria"/>
      <w:sz w:val="21"/>
    </w:rPr>
  </w:style>
  <w:style w:type="character" w:styleId="1074">
    <w:name w:val="UserStyle_45"/>
    <w:next w:val="1074"/>
    <w:link w:val="1000"/>
    <w:uiPriority w:val="99"/>
    <w:qFormat/>
    <w:rPr>
      <w:b/>
      <w:sz w:val="24"/>
    </w:rPr>
  </w:style>
  <w:style w:type="character" w:styleId="1075">
    <w:name w:val="UserStyle_19"/>
    <w:next w:val="1075"/>
    <w:link w:val="1000"/>
    <w:uiPriority w:val="99"/>
    <w:qFormat/>
    <w:rPr>
      <w:b/>
      <w:sz w:val="28"/>
    </w:rPr>
  </w:style>
  <w:style w:type="character" w:styleId="1076">
    <w:name w:val="UserStyle_32"/>
    <w:next w:val="1076"/>
    <w:link w:val="1000"/>
    <w:uiPriority w:val="99"/>
    <w:qFormat/>
    <w:rPr>
      <w:rFonts w:ascii="Cambria" w:hAnsi="Cambria"/>
      <w:b/>
      <w:sz w:val="32"/>
    </w:rPr>
  </w:style>
  <w:style w:type="character" w:styleId="1077">
    <w:name w:val="UserStyle_16"/>
    <w:next w:val="1077"/>
    <w:link w:val="1078"/>
    <w:uiPriority w:val="99"/>
    <w:qFormat/>
    <w:rPr>
      <w:sz w:val="18"/>
    </w:rPr>
  </w:style>
  <w:style w:type="paragraph" w:styleId="1078">
    <w:name w:val="页脚1"/>
    <w:basedOn w:val="1000"/>
    <w:next w:val="1078"/>
    <w:link w:val="1077"/>
    <w:uiPriority w:val="99"/>
    <w:qFormat/>
    <w:pPr>
      <w:jc w:val="left"/>
      <w:tabs>
        <w:tab w:val="center" w:pos="4153" w:leader="none"/>
        <w:tab w:val="right" w:pos="8306" w:leader="none"/>
      </w:tabs>
    </w:pPr>
    <w:rPr>
      <w:sz w:val="18"/>
      <w:szCs w:val="20"/>
    </w:rPr>
  </w:style>
  <w:style w:type="character" w:styleId="1079">
    <w:name w:val="UserStyle_29"/>
    <w:next w:val="1079"/>
    <w:link w:val="1000"/>
    <w:uiPriority w:val="99"/>
    <w:qFormat/>
    <w:rPr>
      <w:rFonts w:eastAsia="宋体"/>
      <w:sz w:val="24"/>
      <w:lang w:val="en-US" w:eastAsia="zh-CN"/>
    </w:rPr>
  </w:style>
  <w:style w:type="character" w:styleId="1080">
    <w:name w:val="UserStyle_36"/>
    <w:next w:val="1080"/>
    <w:link w:val="1000"/>
    <w:uiPriority w:val="99"/>
    <w:qFormat/>
    <w:rPr>
      <w:rFonts w:eastAsia="宋体"/>
      <w:sz w:val="18"/>
      <w:lang w:val="en-US" w:eastAsia="zh-CN"/>
    </w:rPr>
  </w:style>
  <w:style w:type="character" w:styleId="1081">
    <w:name w:val="HtmlCode1"/>
    <w:next w:val="1081"/>
    <w:link w:val="1000"/>
    <w:uiPriority w:val="99"/>
    <w:qFormat/>
    <w:rPr>
      <w:rFonts w:ascii="Courier New" w:hAnsi="Courier New"/>
      <w:sz w:val="20"/>
    </w:rPr>
  </w:style>
  <w:style w:type="character" w:styleId="1082">
    <w:name w:val="UserStyle_31"/>
    <w:next w:val="1082"/>
    <w:link w:val="1083"/>
    <w:uiPriority w:val="99"/>
    <w:semiHidden/>
    <w:qFormat/>
    <w:rPr>
      <w:rFonts w:ascii="Courier New" w:hAnsi="Courier New"/>
      <w:lang w:val="en-US" w:eastAsia="zh-CN" w:bidi="ar-SA"/>
    </w:rPr>
  </w:style>
  <w:style w:type="paragraph" w:styleId="1083">
    <w:name w:val="宏文本1"/>
    <w:next w:val="1083"/>
    <w:link w:val="1082"/>
    <w:uiPriority w:val="99"/>
    <w:semiHidden/>
    <w:qFormat/>
    <w:pPr>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lang w:val="en-US" w:eastAsia="zh-CN" w:bidi="ar-SA"/>
    </w:rPr>
  </w:style>
  <w:style w:type="character" w:styleId="1084">
    <w:name w:val="UserStyle_22"/>
    <w:next w:val="1084"/>
    <w:link w:val="1000"/>
    <w:uiPriority w:val="99"/>
    <w:qFormat/>
    <w:rPr>
      <w:rFonts w:ascii="Times New Roman" w:hAnsi="Times New Roman"/>
      <w:color w:val="000000"/>
      <w:sz w:val="21"/>
    </w:rPr>
  </w:style>
  <w:style w:type="character" w:styleId="1085">
    <w:name w:val="UserStyle_26"/>
    <w:next w:val="1085"/>
    <w:link w:val="1086"/>
    <w:uiPriority w:val="99"/>
    <w:qFormat/>
    <w:rPr>
      <w:sz w:val="24"/>
    </w:rPr>
  </w:style>
  <w:style w:type="paragraph" w:styleId="1086">
    <w:name w:val="BodyTextIndent1"/>
    <w:basedOn w:val="1000"/>
    <w:next w:val="1086"/>
    <w:link w:val="1085"/>
    <w:uiPriority w:val="99"/>
    <w:qFormat/>
    <w:pPr>
      <w:ind w:left="420"/>
      <w:spacing w:after="120"/>
    </w:pPr>
    <w:rPr>
      <w:sz w:val="24"/>
      <w:szCs w:val="20"/>
    </w:rPr>
  </w:style>
  <w:style w:type="character" w:styleId="1087">
    <w:name w:val="UserStyle_50"/>
    <w:next w:val="1087"/>
    <w:link w:val="1088"/>
    <w:uiPriority w:val="99"/>
    <w:qFormat/>
    <w:rPr>
      <w:rFonts w:ascii="宋体"/>
      <w:sz w:val="28"/>
    </w:rPr>
  </w:style>
  <w:style w:type="paragraph" w:styleId="1088">
    <w:name w:val="UserStyle_51"/>
    <w:basedOn w:val="1000"/>
    <w:next w:val="1088"/>
    <w:link w:val="1087"/>
    <w:uiPriority w:val="99"/>
    <w:qFormat/>
    <w:pPr>
      <w:numPr>
        <w:ilvl w:val="0"/>
        <w:numId w:val="1"/>
      </w:numPr>
      <w:ind w:left="0" w:firstLine="0"/>
      <w:spacing w:before="120"/>
      <w:tabs>
        <w:tab w:val="left" w:pos="720" w:leader="none"/>
      </w:tabs>
    </w:pPr>
    <w:rPr>
      <w:rFonts w:ascii="宋体"/>
      <w:sz w:val="28"/>
      <w:szCs w:val="20"/>
    </w:rPr>
  </w:style>
  <w:style w:type="character" w:styleId="1089">
    <w:name w:val="UserStyle_20"/>
    <w:next w:val="1089"/>
    <w:link w:val="1000"/>
    <w:uiPriority w:val="99"/>
    <w:qFormat/>
    <w:rPr>
      <w:rFonts w:eastAsia="宋体"/>
      <w:sz w:val="18"/>
      <w:lang w:val="en-US" w:eastAsia="zh-CN"/>
    </w:rPr>
  </w:style>
  <w:style w:type="character" w:styleId="1090">
    <w:name w:val="UserStyle_28"/>
    <w:next w:val="1090"/>
    <w:link w:val="1000"/>
    <w:uiPriority w:val="99"/>
    <w:qFormat/>
    <w:rPr>
      <w:rFonts w:ascii="宋体" w:hAnsi="宋体" w:eastAsia="宋体"/>
      <w:color w:val="000000"/>
      <w:sz w:val="21"/>
    </w:rPr>
  </w:style>
  <w:style w:type="character" w:styleId="1091">
    <w:name w:val="UserStyle_43"/>
    <w:next w:val="1091"/>
    <w:link w:val="1000"/>
    <w:uiPriority w:val="99"/>
    <w:qFormat/>
    <w:rPr>
      <w:rFonts w:ascii="Cambria" w:hAnsi="Cambria"/>
      <w:b/>
      <w:sz w:val="28"/>
    </w:rPr>
  </w:style>
  <w:style w:type="character" w:styleId="1092">
    <w:name w:val="UserStyle_10"/>
    <w:next w:val="1092"/>
    <w:link w:val="1000"/>
    <w:uiPriority w:val="99"/>
    <w:qFormat/>
    <w:rPr>
      <w:rFonts w:ascii="Times New Roman" w:hAnsi="Times New Roman" w:eastAsia="宋体"/>
      <w:sz w:val="24"/>
    </w:rPr>
  </w:style>
  <w:style w:type="character" w:styleId="1093">
    <w:name w:val="HtmlCite1"/>
    <w:next w:val="1093"/>
    <w:link w:val="1000"/>
    <w:uiPriority w:val="99"/>
    <w:qFormat/>
    <w:rPr>
      <w:color w:val="008000"/>
    </w:rPr>
  </w:style>
  <w:style w:type="character" w:styleId="1094">
    <w:name w:val="UserStyle_3"/>
    <w:next w:val="1094"/>
    <w:link w:val="1095"/>
    <w:uiPriority w:val="99"/>
    <w:qFormat/>
    <w:rPr>
      <w:b/>
      <w:sz w:val="24"/>
    </w:rPr>
  </w:style>
  <w:style w:type="paragraph" w:styleId="1095">
    <w:name w:val="AnnotationSubject1"/>
    <w:basedOn w:val="1096"/>
    <w:next w:val="1096"/>
    <w:link w:val="1094"/>
    <w:uiPriority w:val="99"/>
    <w:qFormat/>
    <w:rPr>
      <w:b/>
    </w:rPr>
  </w:style>
  <w:style w:type="paragraph" w:styleId="1096">
    <w:name w:val="AnnotationText1"/>
    <w:basedOn w:val="1000"/>
    <w:next w:val="1096"/>
    <w:link w:val="1097"/>
    <w:uiPriority w:val="99"/>
    <w:qFormat/>
    <w:pPr>
      <w:jc w:val="left"/>
    </w:pPr>
    <w:rPr>
      <w:sz w:val="24"/>
      <w:szCs w:val="20"/>
    </w:rPr>
  </w:style>
  <w:style w:type="character" w:styleId="1097">
    <w:name w:val="UserStyle_30"/>
    <w:next w:val="1097"/>
    <w:link w:val="1096"/>
    <w:uiPriority w:val="99"/>
    <w:qFormat/>
    <w:rPr>
      <w:sz w:val="24"/>
    </w:rPr>
  </w:style>
  <w:style w:type="character" w:styleId="1098">
    <w:name w:val="UserStyle_5"/>
    <w:next w:val="1098"/>
    <w:link w:val="1000"/>
    <w:uiPriority w:val="99"/>
    <w:qFormat/>
    <w:rPr>
      <w:b/>
      <w:sz w:val="44"/>
    </w:rPr>
  </w:style>
  <w:style w:type="character" w:styleId="1099">
    <w:name w:val="font71"/>
    <w:next w:val="1099"/>
    <w:link w:val="1000"/>
    <w:qFormat/>
    <w:rPr>
      <w:rFonts w:hint="eastAsia" w:ascii="宋体" w:hAnsi="宋体" w:eastAsia="宋体" w:cs="宋体"/>
      <w:color w:val="000000"/>
      <w:sz w:val="21"/>
      <w:szCs w:val="21"/>
      <w:u w:val="none"/>
    </w:rPr>
  </w:style>
  <w:style w:type="character" w:styleId="1100">
    <w:name w:val="font81"/>
    <w:next w:val="1100"/>
    <w:link w:val="1000"/>
    <w:qFormat/>
    <w:rPr>
      <w:rFonts w:hint="eastAsia" w:ascii="宋体" w:hAnsi="宋体" w:eastAsia="宋体" w:cs="宋体"/>
      <w:color w:val="ff0000"/>
      <w:sz w:val="20"/>
      <w:szCs w:val="20"/>
      <w:u w:val="none"/>
    </w:rPr>
  </w:style>
  <w:style w:type="character" w:styleId="1101">
    <w:name w:val="font01"/>
    <w:next w:val="1101"/>
    <w:link w:val="1000"/>
    <w:uiPriority w:val="99"/>
    <w:qFormat/>
    <w:rPr>
      <w:rFonts w:ascii="Times New Roman" w:hAnsi="Times New Roman"/>
      <w:color w:val="000000"/>
      <w:sz w:val="24"/>
      <w:u w:val="none"/>
    </w:rPr>
  </w:style>
  <w:style w:type="character" w:styleId="1102">
    <w:name w:val="font101"/>
    <w:next w:val="1102"/>
    <w:link w:val="1000"/>
    <w:qFormat/>
    <w:rPr>
      <w:rFonts w:hint="eastAsia" w:ascii="宋体" w:hAnsi="宋体" w:eastAsia="宋体" w:cs="宋体"/>
      <w:color w:val="ff0000"/>
      <w:sz w:val="21"/>
      <w:szCs w:val="21"/>
      <w:u w:val="none"/>
    </w:rPr>
  </w:style>
  <w:style w:type="character" w:styleId="1103">
    <w:name w:val="UserStyle_27"/>
    <w:next w:val="1103"/>
    <w:link w:val="1000"/>
    <w:uiPriority w:val="99"/>
    <w:qFormat/>
    <w:rPr>
      <w:rFonts w:eastAsia="宋体"/>
      <w:sz w:val="24"/>
      <w:lang w:val="en-US" w:eastAsia="zh-CN"/>
    </w:rPr>
  </w:style>
  <w:style w:type="character" w:styleId="1104">
    <w:name w:val="UserStyle_12"/>
    <w:next w:val="1104"/>
    <w:link w:val="1000"/>
    <w:uiPriority w:val="99"/>
    <w:qFormat/>
  </w:style>
  <w:style w:type="character" w:styleId="1105">
    <w:name w:val="UserStyle_37"/>
    <w:next w:val="1105"/>
    <w:link w:val="1000"/>
    <w:uiPriority w:val="99"/>
    <w:qFormat/>
    <w:rPr>
      <w:rFonts w:ascii="Cambria" w:hAnsi="Cambria"/>
      <w:sz w:val="24"/>
    </w:rPr>
  </w:style>
  <w:style w:type="character" w:styleId="1106">
    <w:name w:val="UserStyle_2"/>
    <w:next w:val="1106"/>
    <w:link w:val="1107"/>
    <w:uiPriority w:val="99"/>
    <w:qFormat/>
    <w:rPr>
      <w:sz w:val="21"/>
    </w:rPr>
  </w:style>
  <w:style w:type="paragraph" w:styleId="1107">
    <w:name w:val="BodyText21"/>
    <w:basedOn w:val="1000"/>
    <w:next w:val="1107"/>
    <w:link w:val="1106"/>
    <w:uiPriority w:val="99"/>
    <w:qFormat/>
    <w:pPr>
      <w:spacing w:after="120" w:line="480" w:lineRule="auto"/>
    </w:pPr>
    <w:rPr>
      <w:szCs w:val="20"/>
    </w:rPr>
  </w:style>
  <w:style w:type="character" w:styleId="1108">
    <w:name w:val="纯文本 Char1"/>
    <w:next w:val="1108"/>
    <w:link w:val="1000"/>
    <w:uiPriority w:val="99"/>
    <w:semiHidden/>
    <w:qFormat/>
    <w:rPr>
      <w:rFonts w:ascii="宋体" w:hAnsi="Courier New" w:cs="Courier New"/>
      <w:sz w:val="21"/>
      <w:szCs w:val="21"/>
    </w:rPr>
  </w:style>
  <w:style w:type="character" w:styleId="1109">
    <w:name w:val="UserStyle_33"/>
    <w:next w:val="1109"/>
    <w:link w:val="1000"/>
    <w:uiPriority w:val="99"/>
    <w:qFormat/>
    <w:rPr>
      <w:rFonts w:eastAsia="宋体"/>
      <w:sz w:val="24"/>
      <w:lang w:val="en-US" w:eastAsia="zh-CN"/>
    </w:rPr>
  </w:style>
  <w:style w:type="character" w:styleId="1110">
    <w:name w:val="UserStyle_11"/>
    <w:next w:val="1110"/>
    <w:link w:val="1111"/>
    <w:uiPriority w:val="99"/>
    <w:qFormat/>
    <w:rPr>
      <w:sz w:val="16"/>
    </w:rPr>
  </w:style>
  <w:style w:type="paragraph" w:styleId="1111">
    <w:name w:val="BodyText31"/>
    <w:basedOn w:val="1000"/>
    <w:next w:val="1111"/>
    <w:link w:val="1110"/>
    <w:uiPriority w:val="99"/>
    <w:qFormat/>
    <w:pPr>
      <w:spacing w:after="120"/>
    </w:pPr>
    <w:rPr>
      <w:sz w:val="16"/>
      <w:szCs w:val="20"/>
    </w:rPr>
  </w:style>
  <w:style w:type="character" w:styleId="1112">
    <w:name w:val="UserStyle_7"/>
    <w:next w:val="1112"/>
    <w:link w:val="1113"/>
    <w:uiPriority w:val="99"/>
    <w:qFormat/>
    <w:rPr>
      <w:sz w:val="18"/>
    </w:rPr>
  </w:style>
  <w:style w:type="paragraph" w:styleId="1113">
    <w:name w:val="页眉1"/>
    <w:basedOn w:val="1000"/>
    <w:next w:val="1113"/>
    <w:link w:val="1112"/>
    <w:uiPriority w:val="99"/>
    <w:qFormat/>
    <w:pPr>
      <w:jc w:val="center"/>
      <w:tabs>
        <w:tab w:val="center" w:pos="4153" w:leader="none"/>
        <w:tab w:val="right" w:pos="8306" w:leader="none"/>
      </w:tabs>
      <w:pBdr>
        <w:bottom w:val="single" w:color="000000" w:sz="6" w:space="1"/>
      </w:pBdr>
    </w:pPr>
    <w:rPr>
      <w:sz w:val="18"/>
      <w:szCs w:val="20"/>
    </w:rPr>
  </w:style>
  <w:style w:type="character" w:styleId="1114">
    <w:name w:val="UserStyle_23"/>
    <w:next w:val="1114"/>
    <w:link w:val="1000"/>
    <w:uiPriority w:val="99"/>
    <w:qFormat/>
    <w:rPr>
      <w:rFonts w:ascii="Calibri" w:hAnsi="Calibri"/>
      <w:color w:val="000000"/>
      <w:sz w:val="24"/>
    </w:rPr>
  </w:style>
  <w:style w:type="character" w:styleId="1115">
    <w:name w:val="AnnotationReference1"/>
    <w:next w:val="1115"/>
    <w:link w:val="1000"/>
    <w:uiPriority w:val="99"/>
    <w:qFormat/>
    <w:rPr>
      <w:sz w:val="21"/>
    </w:rPr>
  </w:style>
  <w:style w:type="character" w:styleId="1116">
    <w:name w:val="c-icon28"/>
    <w:next w:val="1116"/>
    <w:link w:val="1000"/>
    <w:qFormat/>
  </w:style>
  <w:style w:type="character" w:styleId="1117">
    <w:name w:val="hover27"/>
    <w:next w:val="1117"/>
    <w:link w:val="1000"/>
    <w:qFormat/>
    <w:rPr>
      <w:color w:val="315efb"/>
    </w:rPr>
  </w:style>
  <w:style w:type="character" w:styleId="1118">
    <w:name w:val="font91"/>
    <w:next w:val="1118"/>
    <w:link w:val="1000"/>
    <w:qFormat/>
    <w:rPr>
      <w:rFonts w:hint="eastAsia" w:ascii="宋体" w:hAnsi="宋体" w:eastAsia="宋体" w:cs="宋体"/>
      <w:b/>
      <w:bCs/>
      <w:color w:val="ff0000"/>
      <w:sz w:val="21"/>
      <w:szCs w:val="21"/>
      <w:u w:val="none"/>
    </w:rPr>
  </w:style>
  <w:style w:type="character" w:styleId="1119">
    <w:name w:val="hover26"/>
    <w:next w:val="1119"/>
    <w:link w:val="1000"/>
    <w:qFormat/>
  </w:style>
  <w:style w:type="character" w:styleId="1120">
    <w:name w:val="UserStyle_15"/>
    <w:next w:val="1120"/>
    <w:link w:val="1000"/>
    <w:uiPriority w:val="99"/>
    <w:qFormat/>
    <w:rPr>
      <w:rFonts w:eastAsia="宋体"/>
      <w:sz w:val="24"/>
      <w:lang w:val="en-US" w:eastAsia="zh-CN"/>
    </w:rPr>
  </w:style>
  <w:style w:type="character" w:styleId="1121">
    <w:name w:val="UserStyle_1"/>
    <w:next w:val="1121"/>
    <w:link w:val="1122"/>
    <w:uiPriority w:val="99"/>
    <w:qFormat/>
    <w:rPr>
      <w:sz w:val="24"/>
    </w:rPr>
  </w:style>
  <w:style w:type="paragraph" w:styleId="1122">
    <w:name w:val="NormalIndent1"/>
    <w:basedOn w:val="1000"/>
    <w:next w:val="1122"/>
    <w:link w:val="1121"/>
    <w:uiPriority w:val="99"/>
    <w:qFormat/>
    <w:pPr>
      <w:ind w:firstLine="420"/>
    </w:pPr>
    <w:rPr>
      <w:sz w:val="24"/>
      <w:szCs w:val="20"/>
    </w:rPr>
  </w:style>
  <w:style w:type="character" w:styleId="1123">
    <w:name w:val="UserStyle_41"/>
    <w:next w:val="1123"/>
    <w:link w:val="1124"/>
    <w:uiPriority w:val="99"/>
    <w:qFormat/>
    <w:rPr>
      <w:sz w:val="16"/>
    </w:rPr>
  </w:style>
  <w:style w:type="paragraph" w:styleId="1124">
    <w:name w:val="BodyTextIndent31"/>
    <w:basedOn w:val="1000"/>
    <w:next w:val="1124"/>
    <w:link w:val="1123"/>
    <w:uiPriority w:val="99"/>
    <w:qFormat/>
    <w:pPr>
      <w:ind w:left="420"/>
      <w:spacing w:after="120"/>
    </w:pPr>
    <w:rPr>
      <w:sz w:val="16"/>
      <w:szCs w:val="20"/>
    </w:rPr>
  </w:style>
  <w:style w:type="character" w:styleId="1125">
    <w:name w:val="NormalCharacter1"/>
    <w:next w:val="1125"/>
    <w:link w:val="1000"/>
    <w:qFormat/>
  </w:style>
  <w:style w:type="character" w:styleId="1126">
    <w:name w:val="UserStyle_49"/>
    <w:next w:val="1126"/>
    <w:link w:val="1000"/>
    <w:uiPriority w:val="99"/>
    <w:qFormat/>
    <w:rPr>
      <w:b/>
      <w:sz w:val="32"/>
    </w:rPr>
  </w:style>
  <w:style w:type="character" w:styleId="1127">
    <w:name w:val="font21"/>
    <w:next w:val="1127"/>
    <w:link w:val="1000"/>
    <w:qFormat/>
    <w:rPr>
      <w:rFonts w:hint="eastAsia" w:ascii="宋体" w:hAnsi="宋体" w:eastAsia="宋体" w:cs="宋体"/>
      <w:b/>
      <w:bCs/>
      <w:color w:val="000000"/>
      <w:sz w:val="21"/>
      <w:szCs w:val="21"/>
      <w:u w:val="none"/>
    </w:rPr>
  </w:style>
  <w:style w:type="character" w:styleId="1128">
    <w:name w:val="UserStyle_21"/>
    <w:next w:val="1128"/>
    <w:link w:val="1129"/>
    <w:uiPriority w:val="99"/>
    <w:qFormat/>
    <w:rPr>
      <w:sz w:val="18"/>
    </w:rPr>
  </w:style>
  <w:style w:type="paragraph" w:styleId="1129">
    <w:name w:val="Acetate1"/>
    <w:basedOn w:val="1000"/>
    <w:next w:val="1129"/>
    <w:link w:val="1128"/>
    <w:uiPriority w:val="99"/>
    <w:qFormat/>
    <w:rPr>
      <w:sz w:val="18"/>
      <w:szCs w:val="20"/>
    </w:rPr>
  </w:style>
  <w:style w:type="character" w:styleId="1130">
    <w:name w:val="font31"/>
    <w:next w:val="1130"/>
    <w:link w:val="1000"/>
    <w:uiPriority w:val="99"/>
    <w:qFormat/>
    <w:rPr>
      <w:rFonts w:ascii="宋体" w:hAnsi="宋体" w:eastAsia="宋体"/>
      <w:color w:val="000000"/>
      <w:sz w:val="24"/>
      <w:u w:val="none"/>
    </w:rPr>
  </w:style>
  <w:style w:type="character" w:styleId="1131">
    <w:name w:val="font51"/>
    <w:next w:val="1131"/>
    <w:link w:val="1000"/>
    <w:qFormat/>
    <w:rPr>
      <w:rFonts w:hint="eastAsia" w:ascii="仿宋" w:hAnsi="仿宋" w:eastAsia="仿宋" w:cs="仿宋"/>
      <w:color w:val="ff0000"/>
      <w:sz w:val="20"/>
      <w:szCs w:val="20"/>
      <w:u w:val="none"/>
    </w:rPr>
  </w:style>
  <w:style w:type="character" w:styleId="1132">
    <w:name w:val="UserStyle_34"/>
    <w:next w:val="1132"/>
    <w:link w:val="1133"/>
    <w:uiPriority w:val="99"/>
    <w:qFormat/>
    <w:rPr>
      <w:rFonts w:ascii="宋体"/>
      <w:sz w:val="18"/>
    </w:rPr>
  </w:style>
  <w:style w:type="paragraph" w:styleId="1133">
    <w:name w:val="NavPane1"/>
    <w:basedOn w:val="1000"/>
    <w:next w:val="1133"/>
    <w:link w:val="1132"/>
    <w:uiPriority w:val="99"/>
    <w:qFormat/>
    <w:rPr>
      <w:rFonts w:ascii="宋体"/>
      <w:sz w:val="18"/>
      <w:szCs w:val="20"/>
    </w:rPr>
  </w:style>
  <w:style w:type="character" w:styleId="1134">
    <w:name w:val="UserStyle_42"/>
    <w:next w:val="1134"/>
    <w:link w:val="1135"/>
    <w:uiPriority w:val="99"/>
    <w:qFormat/>
    <w:rPr>
      <w:rFonts w:ascii="宋体" w:hAnsi="Arial"/>
      <w:sz w:val="28"/>
    </w:rPr>
  </w:style>
  <w:style w:type="paragraph" w:styleId="1135">
    <w:name w:val="BodyTextIndent21"/>
    <w:basedOn w:val="1000"/>
    <w:next w:val="1135"/>
    <w:link w:val="1134"/>
    <w:uiPriority w:val="99"/>
    <w:qFormat/>
    <w:pPr>
      <w:ind w:left="-210" w:hanging="20"/>
      <w:spacing w:line="500" w:lineRule="exact"/>
    </w:pPr>
    <w:rPr>
      <w:rFonts w:ascii="宋体" w:hAnsi="Arial"/>
      <w:sz w:val="28"/>
      <w:szCs w:val="20"/>
    </w:rPr>
  </w:style>
  <w:style w:type="character" w:styleId="1136">
    <w:name w:val="UserStyle_17"/>
    <w:next w:val="1136"/>
    <w:link w:val="1137"/>
    <w:uiPriority w:val="99"/>
    <w:qFormat/>
    <w:rPr>
      <w:sz w:val="24"/>
    </w:rPr>
  </w:style>
  <w:style w:type="paragraph" w:styleId="1137">
    <w:name w:val="UserStyle_18"/>
    <w:basedOn w:val="1000"/>
    <w:next w:val="1137"/>
    <w:link w:val="1136"/>
    <w:uiPriority w:val="99"/>
    <w:qFormat/>
    <w:pPr>
      <w:ind w:left="1098" w:hanging="2"/>
      <w:spacing w:after="60" w:line="264" w:lineRule="auto"/>
      <w:tabs>
        <w:tab w:val="left" w:pos="1020" w:leader="none"/>
        <w:tab w:val="left" w:pos="1090" w:leader="none"/>
      </w:tabs>
    </w:pPr>
    <w:rPr>
      <w:sz w:val="24"/>
      <w:szCs w:val="20"/>
    </w:rPr>
  </w:style>
  <w:style w:type="character" w:styleId="1138">
    <w:name w:val="font41"/>
    <w:next w:val="1138"/>
    <w:link w:val="1000"/>
    <w:qFormat/>
    <w:rPr>
      <w:rFonts w:hint="eastAsia" w:ascii="宋体" w:hAnsi="宋体" w:eastAsia="宋体" w:cs="宋体"/>
      <w:b/>
      <w:bCs/>
      <w:color w:val="000000"/>
      <w:sz w:val="21"/>
      <w:szCs w:val="21"/>
      <w:u w:val="none"/>
    </w:rPr>
  </w:style>
  <w:style w:type="character" w:styleId="1139">
    <w:name w:val="font11"/>
    <w:next w:val="1139"/>
    <w:link w:val="1000"/>
    <w:qFormat/>
    <w:rPr>
      <w:rFonts w:hint="eastAsia" w:ascii="宋体" w:hAnsi="宋体" w:eastAsia="宋体" w:cs="宋体"/>
      <w:b/>
      <w:bCs/>
      <w:color w:val="000000"/>
      <w:sz w:val="22"/>
      <w:szCs w:val="22"/>
      <w:u w:val="none"/>
    </w:rPr>
  </w:style>
  <w:style w:type="character" w:styleId="1140">
    <w:name w:val="PageNumber1"/>
    <w:next w:val="1140"/>
    <w:link w:val="1000"/>
    <w:uiPriority w:val="99"/>
    <w:qFormat/>
    <w:rPr>
      <w:rFonts w:eastAsia="宋体"/>
      <w:b/>
      <w:sz w:val="24"/>
      <w:lang w:val="en-US" w:eastAsia="zh-CN"/>
    </w:rPr>
  </w:style>
  <w:style w:type="character" w:styleId="1141">
    <w:name w:val="UserStyle_24"/>
    <w:next w:val="1141"/>
    <w:link w:val="1142"/>
    <w:uiPriority w:val="99"/>
    <w:qFormat/>
    <w:rPr>
      <w:rFonts w:ascii="宋体"/>
      <w:color w:val="000000"/>
      <w:sz w:val="24"/>
      <w:szCs w:val="24"/>
      <w:lang w:val="en-US" w:eastAsia="zh-CN" w:bidi="ar-SA"/>
    </w:rPr>
  </w:style>
  <w:style w:type="paragraph" w:styleId="1142">
    <w:name w:val="UserStyle_25"/>
    <w:next w:val="1142"/>
    <w:link w:val="1141"/>
    <w:uiPriority w:val="99"/>
    <w:qFormat/>
    <w:rPr>
      <w:rFonts w:ascii="宋体"/>
      <w:color w:val="000000"/>
      <w:sz w:val="24"/>
      <w:szCs w:val="24"/>
      <w:lang w:val="en-US" w:eastAsia="zh-CN" w:bidi="ar-SA"/>
    </w:rPr>
  </w:style>
  <w:style w:type="character" w:styleId="1143">
    <w:name w:val="font112"/>
    <w:next w:val="1143"/>
    <w:link w:val="1000"/>
    <w:qFormat/>
    <w:rPr>
      <w:rFonts w:hint="eastAsia" w:ascii="宋体" w:hAnsi="宋体" w:eastAsia="宋体" w:cs="宋体"/>
      <w:color w:val="555555"/>
      <w:sz w:val="21"/>
      <w:szCs w:val="21"/>
      <w:u w:val="none"/>
    </w:rPr>
  </w:style>
  <w:style w:type="character" w:styleId="1144">
    <w:name w:val="UserStyle_0"/>
    <w:next w:val="1144"/>
    <w:link w:val="1145"/>
    <w:uiPriority w:val="99"/>
    <w:qFormat/>
    <w:rPr>
      <w:rFonts w:ascii="Ari"/>
      <w:lang w:val="en-US" w:eastAsia="zh-CN"/>
    </w:rPr>
  </w:style>
  <w:style w:type="paragraph" w:styleId="1145">
    <w:name w:val="PlainText1"/>
    <w:basedOn w:val="1000"/>
    <w:next w:val="1145"/>
    <w:link w:val="1144"/>
    <w:uiPriority w:val="99"/>
    <w:qFormat/>
    <w:rPr>
      <w:rFonts w:ascii="Ari"/>
      <w:sz w:val="20"/>
      <w:szCs w:val="20"/>
    </w:rPr>
  </w:style>
  <w:style w:type="character" w:styleId="1146">
    <w:name w:val="UserStyle_38"/>
    <w:next w:val="1146"/>
    <w:link w:val="1000"/>
    <w:uiPriority w:val="99"/>
    <w:qFormat/>
  </w:style>
  <w:style w:type="character" w:styleId="1147">
    <w:name w:val="Max1"/>
    <w:next w:val="1147"/>
    <w:link w:val="1000"/>
    <w:uiPriority w:val="99"/>
    <w:semiHidden/>
    <w:qFormat/>
    <w:rPr>
      <w:color w:val="808080"/>
    </w:rPr>
  </w:style>
  <w:style w:type="paragraph" w:styleId="1148">
    <w:name w:val="UserStyle_75"/>
    <w:basedOn w:val="1000"/>
    <w:next w:val="1148"/>
    <w:link w:val="1000"/>
    <w:uiPriority w:val="99"/>
    <w:qFormat/>
    <w:pPr>
      <w:ind w:left="795" w:hanging="360"/>
      <w:tabs>
        <w:tab w:val="left" w:pos="795" w:leader="none"/>
      </w:tabs>
    </w:pPr>
    <w:rPr>
      <w:sz w:val="24"/>
    </w:rPr>
  </w:style>
  <w:style w:type="paragraph" w:styleId="1149">
    <w:name w:val="WPSOffice手动目录 1"/>
    <w:next w:val="1149"/>
    <w:link w:val="1000"/>
    <w:rPr>
      <w:lang w:val="en-US" w:eastAsia="zh-CN" w:bidi="ar-SA"/>
    </w:rPr>
  </w:style>
  <w:style w:type="paragraph" w:styleId="1150">
    <w:name w:val="Heading11"/>
    <w:basedOn w:val="1000"/>
    <w:next w:val="1000"/>
    <w:link w:val="1000"/>
    <w:uiPriority w:val="99"/>
    <w:qFormat/>
    <w:pPr>
      <w:numPr>
        <w:ilvl w:val="0"/>
        <w:numId w:val="2"/>
      </w:numPr>
      <w:jc w:val="center"/>
      <w:keepLines/>
      <w:keepNext/>
      <w:spacing w:before="340" w:after="330" w:line="578" w:lineRule="auto"/>
    </w:pPr>
    <w:rPr>
      <w:b/>
      <w:bCs/>
      <w:sz w:val="32"/>
      <w:szCs w:val="44"/>
    </w:rPr>
  </w:style>
  <w:style w:type="paragraph" w:styleId="1151">
    <w:name w:val="266"/>
    <w:basedOn w:val="1150"/>
    <w:next w:val="1000"/>
    <w:link w:val="1000"/>
    <w:uiPriority w:val="99"/>
    <w:qFormat/>
    <w:pPr>
      <w:numPr>
        <w:ilvl w:val="0"/>
        <w:numId w:val="0"/>
      </w:numPr>
      <w:jc w:val="left"/>
      <w:spacing w:before="480" w:after="0" w:line="276" w:lineRule="auto"/>
    </w:pPr>
    <w:rPr>
      <w:rFonts w:ascii="Cambria" w:hAnsi="Cambria"/>
      <w:color w:val="365f91"/>
      <w:sz w:val="28"/>
      <w:szCs w:val="28"/>
    </w:rPr>
  </w:style>
  <w:style w:type="paragraph" w:styleId="1152">
    <w:name w:val="UserStyle_58"/>
    <w:basedOn w:val="1000"/>
    <w:next w:val="1152"/>
    <w:link w:val="1000"/>
    <w:uiPriority w:val="99"/>
    <w:qFormat/>
    <w:pPr>
      <w:jc w:val="left"/>
    </w:pPr>
    <w:rPr>
      <w:sz w:val="24"/>
    </w:rPr>
  </w:style>
  <w:style w:type="paragraph" w:styleId="1153">
    <w:name w:val="Heading81"/>
    <w:basedOn w:val="1000"/>
    <w:next w:val="1000"/>
    <w:link w:val="1000"/>
    <w:uiPriority w:val="99"/>
    <w:qFormat/>
    <w:pPr>
      <w:numPr>
        <w:ilvl w:val="7"/>
        <w:numId w:val="2"/>
      </w:numPr>
      <w:keepLines/>
      <w:keepNext/>
      <w:spacing w:before="240" w:after="64" w:line="320" w:lineRule="auto"/>
      <w:tabs>
        <w:tab w:val="left" w:pos="3360" w:leader="none"/>
      </w:tabs>
    </w:pPr>
    <w:rPr>
      <w:rFonts w:ascii="Cambria" w:hAnsi="Cambria"/>
      <w:sz w:val="24"/>
    </w:rPr>
  </w:style>
  <w:style w:type="paragraph" w:styleId="1154">
    <w:name w:val="Heading61"/>
    <w:basedOn w:val="1000"/>
    <w:next w:val="1000"/>
    <w:link w:val="1000"/>
    <w:uiPriority w:val="99"/>
    <w:qFormat/>
    <w:pPr>
      <w:numPr>
        <w:ilvl w:val="5"/>
        <w:numId w:val="2"/>
      </w:numPr>
      <w:ind w:left="0" w:firstLine="0"/>
      <w:keepLines/>
      <w:keepNext/>
      <w:spacing w:before="240" w:after="64" w:line="320" w:lineRule="auto"/>
      <w:tabs>
        <w:tab w:val="left" w:pos="360" w:leader="none"/>
        <w:tab w:val="left" w:pos="2520" w:leader="none"/>
      </w:tabs>
    </w:pPr>
    <w:rPr>
      <w:rFonts w:ascii="Cambria" w:hAnsi="Cambria"/>
      <w:b/>
      <w:bCs/>
      <w:sz w:val="24"/>
    </w:rPr>
  </w:style>
  <w:style w:type="paragraph" w:styleId="1155">
    <w:name w:val="UserStyle_61"/>
    <w:basedOn w:val="1133"/>
    <w:next w:val="1155"/>
    <w:link w:val="1000"/>
    <w:uiPriority w:val="99"/>
    <w:qFormat/>
    <w:pPr>
      <w:spacing w:line="360" w:lineRule="auto"/>
      <w:shd w:val="clear" w:color="auto" w:fill="000080"/>
    </w:pPr>
    <w:rPr>
      <w:rFonts w:ascii="Times New Roman"/>
      <w:sz w:val="21"/>
    </w:rPr>
  </w:style>
  <w:style w:type="paragraph" w:styleId="1156">
    <w:name w:val="_Style 7"/>
    <w:basedOn w:val="1001"/>
    <w:next w:val="1000"/>
    <w:link w:val="1000"/>
    <w:uiPriority w:val="99"/>
    <w:qFormat/>
    <w:pPr>
      <w:tabs>
        <w:tab w:val="left" w:pos="1440" w:leader="none"/>
        <w:tab w:val="left" w:pos="5670" w:leader="none"/>
      </w:tabs>
      <w:outlineLvl w:val="9"/>
    </w:pPr>
  </w:style>
  <w:style w:type="paragraph" w:styleId="1157">
    <w:name w:val="font5"/>
    <w:basedOn w:val="1000"/>
    <w:next w:val="1157"/>
    <w:link w:val="1000"/>
    <w:uiPriority w:val="99"/>
    <w:qFormat/>
    <w:pPr>
      <w:jc w:val="left"/>
      <w:spacing w:before="100" w:beforeAutospacing="1" w:after="100" w:afterAutospacing="1"/>
    </w:pPr>
    <w:rPr>
      <w:rFonts w:ascii="宋体" w:hAnsi="宋体" w:cs="宋体"/>
      <w:sz w:val="18"/>
      <w:szCs w:val="18"/>
    </w:rPr>
  </w:style>
  <w:style w:type="paragraph" w:styleId="1158">
    <w:name w:val="UserStyle_68"/>
    <w:basedOn w:val="1000"/>
    <w:next w:val="1158"/>
    <w:link w:val="1000"/>
    <w:uiPriority w:val="99"/>
    <w:qFormat/>
    <w:pPr>
      <w:ind w:left="2268" w:hanging="2268"/>
      <w:tabs>
        <w:tab w:val="left" w:pos="709" w:leader="none"/>
        <w:tab w:val="left" w:pos="2268" w:leader="none"/>
        <w:tab w:val="right" w:pos="10206" w:leader="none"/>
      </w:tabs>
    </w:pPr>
    <w:rPr>
      <w:sz w:val="24"/>
      <w:szCs w:val="20"/>
      <w:lang w:val="de-DE" w:eastAsia="de-DE"/>
    </w:rPr>
  </w:style>
  <w:style w:type="paragraph" w:styleId="1159">
    <w:name w:val="UserStyle_70"/>
    <w:basedOn w:val="1000"/>
    <w:next w:val="1159"/>
    <w:link w:val="1000"/>
    <w:uiPriority w:val="99"/>
    <w:qFormat/>
    <w:pPr>
      <w:ind w:firstLine="200"/>
      <w:spacing w:line="360" w:lineRule="auto"/>
    </w:pPr>
    <w:rPr>
      <w:sz w:val="24"/>
      <w:szCs w:val="28"/>
    </w:rPr>
  </w:style>
  <w:style w:type="paragraph" w:styleId="1160">
    <w:name w:val="TOC11"/>
    <w:basedOn w:val="1000"/>
    <w:next w:val="1000"/>
    <w:link w:val="1000"/>
    <w:uiPriority w:val="99"/>
    <w:qFormat/>
  </w:style>
  <w:style w:type="paragraph" w:styleId="1161">
    <w:name w:val="UserStyle_76"/>
    <w:basedOn w:val="1000"/>
    <w:next w:val="1161"/>
    <w:link w:val="1000"/>
    <w:uiPriority w:val="99"/>
    <w:qFormat/>
    <w:rPr>
      <w:szCs w:val="20"/>
    </w:rPr>
  </w:style>
  <w:style w:type="paragraph" w:styleId="1162">
    <w:name w:val="UserStyle_73"/>
    <w:basedOn w:val="1000"/>
    <w:next w:val="1162"/>
    <w:link w:val="1000"/>
    <w:uiPriority w:val="99"/>
    <w:qFormat/>
    <w:pPr>
      <w:ind w:firstLine="420"/>
      <w:jc w:val="left"/>
    </w:pPr>
    <w:rPr>
      <w:sz w:val="24"/>
    </w:rPr>
  </w:style>
  <w:style w:type="paragraph" w:styleId="1163">
    <w:name w:val="xl72"/>
    <w:basedOn w:val="1000"/>
    <w:next w:val="1163"/>
    <w:link w:val="1000"/>
    <w:uiPriority w:val="99"/>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64">
    <w:name w:val="UserStyle_54"/>
    <w:basedOn w:val="1000"/>
    <w:next w:val="1000"/>
    <w:link w:val="1000"/>
    <w:uiPriority w:val="99"/>
    <w:qFormat/>
    <w:rPr>
      <w:sz w:val="24"/>
      <w:szCs w:val="20"/>
    </w:rPr>
  </w:style>
  <w:style w:type="paragraph" w:styleId="1165">
    <w:name w:val="178"/>
    <w:next w:val="1165"/>
    <w:link w:val="1000"/>
    <w:uiPriority w:val="99"/>
    <w:qFormat/>
    <w:rPr>
      <w:sz w:val="21"/>
      <w:szCs w:val="24"/>
      <w:lang w:val="en-US" w:eastAsia="zh-CN" w:bidi="ar-SA"/>
    </w:rPr>
  </w:style>
  <w:style w:type="paragraph" w:styleId="1166">
    <w:name w:val="首行缩进"/>
    <w:basedOn w:val="1000"/>
    <w:next w:val="1166"/>
    <w:link w:val="1000"/>
    <w:qFormat/>
    <w:pPr>
      <w:ind w:firstLine="480"/>
    </w:pPr>
    <w:rPr>
      <w:szCs w:val="20"/>
      <w:lang w:val="zh-CN"/>
    </w:rPr>
  </w:style>
  <w:style w:type="paragraph" w:styleId="1167">
    <w:name w:val="179"/>
    <w:basedOn w:val="1000"/>
    <w:next w:val="1167"/>
    <w:link w:val="1000"/>
    <w:uiPriority w:val="99"/>
    <w:qFormat/>
    <w:pPr>
      <w:ind w:firstLine="420"/>
    </w:pPr>
  </w:style>
  <w:style w:type="paragraph" w:styleId="1168">
    <w:name w:val="Heading91"/>
    <w:basedOn w:val="1000"/>
    <w:next w:val="1000"/>
    <w:link w:val="1000"/>
    <w:uiPriority w:val="99"/>
    <w:qFormat/>
    <w:pPr>
      <w:numPr>
        <w:ilvl w:val="8"/>
        <w:numId w:val="2"/>
      </w:numPr>
      <w:keepLines/>
      <w:keepNext/>
      <w:spacing w:before="240" w:after="64" w:line="320" w:lineRule="auto"/>
      <w:tabs>
        <w:tab w:val="left" w:pos="3780" w:leader="none"/>
      </w:tabs>
    </w:pPr>
    <w:rPr>
      <w:rFonts w:ascii="Cambria" w:hAnsi="Cambria"/>
      <w:szCs w:val="21"/>
    </w:rPr>
  </w:style>
  <w:style w:type="paragraph" w:styleId="1169">
    <w:name w:val="列出段落1"/>
    <w:basedOn w:val="1000"/>
    <w:next w:val="1169"/>
    <w:link w:val="1000"/>
    <w:uiPriority w:val="34"/>
    <w:qFormat/>
    <w:pPr>
      <w:ind w:firstLine="420"/>
      <w:widowControl w:val="off"/>
    </w:pPr>
    <w:rPr>
      <w:szCs w:val="20"/>
    </w:rPr>
  </w:style>
  <w:style w:type="paragraph" w:styleId="1170">
    <w:name w:val="UserStyle_57"/>
    <w:next w:val="1000"/>
    <w:link w:val="1000"/>
    <w:uiPriority w:val="99"/>
    <w:qFormat/>
    <w:rPr>
      <w:rFonts w:ascii="Arial" w:hAnsi="Arial"/>
      <w:sz w:val="22"/>
      <w:szCs w:val="22"/>
      <w:lang w:val="de-DE" w:eastAsia="de-DE" w:bidi="ar-SA"/>
    </w:rPr>
  </w:style>
  <w:style w:type="paragraph" w:styleId="1171">
    <w:name w:val="Heading41"/>
    <w:basedOn w:val="1000"/>
    <w:next w:val="1000"/>
    <w:link w:val="1000"/>
    <w:uiPriority w:val="99"/>
    <w:qFormat/>
    <w:pPr>
      <w:numPr>
        <w:ilvl w:val="3"/>
        <w:numId w:val="2"/>
      </w:numPr>
      <w:keepLines/>
      <w:keepNext/>
      <w:spacing w:before="280" w:after="290" w:line="376" w:lineRule="auto"/>
      <w:tabs>
        <w:tab w:val="left" w:pos="1680" w:leader="none"/>
      </w:tabs>
    </w:pPr>
    <w:rPr>
      <w:rFonts w:ascii="Cambria" w:hAnsi="Cambria"/>
      <w:b/>
      <w:bCs/>
      <w:sz w:val="28"/>
      <w:szCs w:val="28"/>
    </w:rPr>
  </w:style>
  <w:style w:type="paragraph" w:styleId="1172">
    <w:name w:val="HtmlNormal1"/>
    <w:basedOn w:val="1000"/>
    <w:next w:val="1172"/>
    <w:link w:val="1000"/>
    <w:uiPriority w:val="99"/>
    <w:qFormat/>
    <w:pPr>
      <w:jc w:val="left"/>
      <w:spacing w:before="100" w:beforeAutospacing="1" w:after="100" w:afterAutospacing="1"/>
    </w:pPr>
    <w:rPr>
      <w:rFonts w:ascii="宋体" w:hAnsi="宋体"/>
      <w:sz w:val="24"/>
    </w:rPr>
  </w:style>
  <w:style w:type="paragraph" w:styleId="1173">
    <w:name w:val="UserStyle_53"/>
    <w:basedOn w:val="1174"/>
    <w:next w:val="1042"/>
    <w:link w:val="1000"/>
    <w:uiPriority w:val="99"/>
    <w:qFormat/>
    <w:pPr>
      <w:spacing w:before="156" w:after="156" w:line="360" w:lineRule="auto"/>
      <w:tabs>
        <w:tab w:val="left" w:pos="840" w:leader="none"/>
      </w:tabs>
    </w:pPr>
    <w:rPr>
      <w:bCs w:val="0"/>
      <w:sz w:val="24"/>
    </w:rPr>
  </w:style>
  <w:style w:type="paragraph" w:styleId="1174">
    <w:name w:val="Heading21"/>
    <w:basedOn w:val="1000"/>
    <w:next w:val="1000"/>
    <w:link w:val="1000"/>
    <w:uiPriority w:val="99"/>
    <w:qFormat/>
    <w:pPr>
      <w:numPr>
        <w:ilvl w:val="1"/>
        <w:numId w:val="2"/>
      </w:numPr>
      <w:keepLines/>
      <w:keepNext/>
      <w:spacing w:before="260" w:after="260" w:line="416" w:lineRule="auto"/>
      <w:tabs>
        <w:tab w:val="left" w:pos="840" w:leader="none"/>
      </w:tabs>
    </w:pPr>
    <w:rPr>
      <w:rFonts w:ascii="Cambria" w:hAnsi="Cambria"/>
      <w:b/>
      <w:bCs/>
      <w:sz w:val="32"/>
      <w:szCs w:val="32"/>
    </w:rPr>
  </w:style>
  <w:style w:type="paragraph" w:styleId="1175">
    <w:name w:val="UserStyle_55"/>
    <w:basedOn w:val="1000"/>
    <w:next w:val="1175"/>
    <w:link w:val="1000"/>
    <w:uiPriority w:val="99"/>
    <w:qFormat/>
    <w:pPr>
      <w:contextualSpacing/>
      <w:ind w:left="720"/>
      <w:jc w:val="left"/>
    </w:pPr>
    <w:rPr>
      <w:rFonts w:ascii="Arial" w:hAnsi="Arial" w:eastAsia="黑体"/>
      <w:sz w:val="24"/>
      <w:lang w:eastAsia="en-US"/>
    </w:rPr>
  </w:style>
  <w:style w:type="paragraph" w:styleId="1176">
    <w:name w:val="xl68"/>
    <w:basedOn w:val="1000"/>
    <w:next w:val="1176"/>
    <w:link w:val="1000"/>
    <w:uiPriority w:val="99"/>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77">
    <w:name w:val="UserStyle_78"/>
    <w:basedOn w:val="1000"/>
    <w:next w:val="1177"/>
    <w:link w:val="1000"/>
    <w:uiPriority w:val="99"/>
    <w:qFormat/>
    <w:pPr>
      <w:ind w:firstLine="567"/>
      <w:spacing w:line="480" w:lineRule="atLeast"/>
    </w:pPr>
    <w:rPr>
      <w:rFonts w:ascii="Ari" w:eastAsia="Times New Roman"/>
      <w:sz w:val="28"/>
      <w:szCs w:val="20"/>
    </w:rPr>
  </w:style>
  <w:style w:type="paragraph" w:styleId="1178">
    <w:name w:val="UserStyle_62"/>
    <w:basedOn w:val="1000"/>
    <w:next w:val="1178"/>
    <w:link w:val="1000"/>
    <w:uiPriority w:val="99"/>
    <w:qFormat/>
    <w:pPr>
      <w:ind w:left="600" w:hanging="600"/>
      <w:spacing w:line="420" w:lineRule="exact"/>
    </w:pPr>
    <w:rPr>
      <w:rFonts w:ascii="宋体" w:hAnsi="宋体"/>
      <w:color w:val="000000"/>
      <w:sz w:val="24"/>
      <w:szCs w:val="20"/>
    </w:rPr>
  </w:style>
  <w:style w:type="paragraph" w:styleId="1179">
    <w:name w:val="UserStyle_63"/>
    <w:basedOn w:val="1000"/>
    <w:next w:val="1179"/>
    <w:link w:val="1000"/>
    <w:uiPriority w:val="99"/>
    <w:qFormat/>
    <w:pPr>
      <w:ind w:firstLine="560"/>
      <w:jc w:val="left"/>
      <w:spacing w:line="460" w:lineRule="exact"/>
    </w:pPr>
    <w:rPr>
      <w:rFonts w:ascii="仿宋_GB2312" w:hAnsi="仿宋_GB2312" w:eastAsia="仿宋_GB2312"/>
      <w:sz w:val="28"/>
      <w:szCs w:val="20"/>
    </w:rPr>
  </w:style>
  <w:style w:type="paragraph" w:styleId="1180">
    <w:name w:val="Heading51"/>
    <w:basedOn w:val="1000"/>
    <w:next w:val="1000"/>
    <w:link w:val="1000"/>
    <w:uiPriority w:val="99"/>
    <w:qFormat/>
    <w:pPr>
      <w:numPr>
        <w:ilvl w:val="4"/>
        <w:numId w:val="2"/>
      </w:numPr>
      <w:keepLines/>
      <w:keepNext/>
      <w:spacing w:before="280" w:after="290" w:line="376" w:lineRule="auto"/>
      <w:tabs>
        <w:tab w:val="left" w:pos="2100" w:leader="none"/>
      </w:tabs>
    </w:pPr>
    <w:rPr>
      <w:b/>
      <w:bCs/>
      <w:sz w:val="28"/>
      <w:szCs w:val="28"/>
    </w:rPr>
  </w:style>
  <w:style w:type="paragraph" w:styleId="1181">
    <w:name w:val="UserStyle_79"/>
    <w:basedOn w:val="1000"/>
    <w:next w:val="1181"/>
    <w:link w:val="1000"/>
    <w:uiPriority w:val="99"/>
    <w:qFormat/>
    <w:pPr>
      <w:jc w:val="left"/>
    </w:pPr>
    <w:rPr>
      <w:rFonts w:ascii="Calibri" w:hAnsi="Calibri"/>
      <w:sz w:val="22"/>
      <w:lang w:eastAsia="en-US"/>
    </w:rPr>
  </w:style>
  <w:style w:type="paragraph" w:styleId="1182">
    <w:name w:val="ListBullet1"/>
    <w:basedOn w:val="1000"/>
    <w:next w:val="1182"/>
    <w:link w:val="1000"/>
    <w:uiPriority w:val="99"/>
    <w:qFormat/>
    <w:pPr>
      <w:tabs>
        <w:tab w:val="left" w:pos="0" w:leader="none"/>
      </w:tabs>
    </w:pPr>
    <w:rPr>
      <w:szCs w:val="20"/>
    </w:rPr>
  </w:style>
  <w:style w:type="paragraph" w:styleId="1183">
    <w:name w:val="正文 New New New New New New New"/>
    <w:next w:val="1183"/>
    <w:link w:val="1000"/>
    <w:uiPriority w:val="99"/>
    <w:qFormat/>
    <w:pPr>
      <w:jc w:val="both"/>
      <w:widowControl w:val="off"/>
    </w:pPr>
    <w:rPr>
      <w:sz w:val="21"/>
      <w:lang w:val="en-US" w:eastAsia="zh-CN" w:bidi="ar-SA"/>
    </w:rPr>
  </w:style>
  <w:style w:type="paragraph" w:styleId="1184">
    <w:name w:val="UserStyle_77"/>
    <w:basedOn w:val="1000"/>
    <w:next w:val="1184"/>
    <w:link w:val="1000"/>
    <w:uiPriority w:val="99"/>
    <w:qFormat/>
    <w:pPr>
      <w:ind w:left="360" w:hanging="360"/>
      <w:tabs>
        <w:tab w:val="left" w:pos="360" w:leader="none"/>
        <w:tab w:val="left" w:pos="1545" w:leader="none"/>
      </w:tabs>
    </w:pPr>
    <w:rPr>
      <w:szCs w:val="20"/>
    </w:rPr>
  </w:style>
  <w:style w:type="paragraph" w:styleId="1185">
    <w:name w:val="xl73"/>
    <w:basedOn w:val="1000"/>
    <w:next w:val="1185"/>
    <w:link w:val="1000"/>
    <w:uiPriority w:val="99"/>
    <w:qFormat/>
    <w:pPr>
      <w:jc w:val="center"/>
      <w:spacing w:before="100" w:beforeAutospacing="1" w:after="100" w:afterAutospacing="1"/>
      <w:shd w:val="clear" w:color="000000" w:fill="ffffff"/>
    </w:pPr>
    <w:rPr>
      <w:rFonts w:ascii="宋体" w:hAnsi="宋体" w:cs="宋体"/>
      <w:b/>
      <w:bCs/>
      <w:sz w:val="36"/>
      <w:szCs w:val="36"/>
    </w:rPr>
  </w:style>
  <w:style w:type="paragraph" w:styleId="1186">
    <w:name w:val="正文（绿盟科技）"/>
    <w:next w:val="1186"/>
    <w:link w:val="1000"/>
    <w:qFormat/>
    <w:pPr>
      <w:spacing w:line="300" w:lineRule="auto"/>
    </w:pPr>
    <w:rPr>
      <w:rFonts w:ascii="Arial" w:hAnsi="Arial" w:cs="黑体"/>
      <w:sz w:val="21"/>
      <w:szCs w:val="21"/>
      <w:lang w:val="en-US" w:eastAsia="zh-CN" w:bidi="ar-SA"/>
    </w:rPr>
  </w:style>
  <w:style w:type="paragraph" w:styleId="1187">
    <w:name w:val="Heading31"/>
    <w:basedOn w:val="1000"/>
    <w:next w:val="1000"/>
    <w:link w:val="1000"/>
    <w:uiPriority w:val="99"/>
    <w:qFormat/>
    <w:pPr>
      <w:numPr>
        <w:ilvl w:val="2"/>
        <w:numId w:val="2"/>
      </w:numPr>
      <w:keepLines/>
      <w:keepNext/>
      <w:spacing w:before="260" w:after="260" w:line="416" w:lineRule="auto"/>
      <w:tabs>
        <w:tab w:val="left" w:pos="1260" w:leader="none"/>
      </w:tabs>
    </w:pPr>
    <w:rPr>
      <w:b/>
      <w:bCs/>
      <w:sz w:val="32"/>
      <w:szCs w:val="32"/>
    </w:rPr>
  </w:style>
  <w:style w:type="paragraph" w:styleId="1188">
    <w:name w:val="UserStyle_74"/>
    <w:basedOn w:val="1000"/>
    <w:next w:val="1188"/>
    <w:link w:val="1000"/>
    <w:uiPriority w:val="99"/>
    <w:qFormat/>
  </w:style>
  <w:style w:type="paragraph" w:styleId="1189">
    <w:name w:val="UserStyle_56"/>
    <w:basedOn w:val="1187"/>
    <w:next w:val="1000"/>
    <w:link w:val="1000"/>
    <w:uiPriority w:val="99"/>
    <w:qFormat/>
    <w:pPr>
      <w:spacing w:before="0" w:after="0" w:line="400" w:lineRule="exact"/>
      <w:tabs>
        <w:tab w:val="left" w:pos="1260" w:leader="none"/>
      </w:tabs>
    </w:pPr>
    <w:rPr>
      <w:rFonts w:eastAsia="黑体"/>
      <w:b w:val="0"/>
      <w:bCs w:val="0"/>
      <w:sz w:val="24"/>
      <w:szCs w:val="20"/>
    </w:rPr>
  </w:style>
  <w:style w:type="paragraph" w:styleId="1190">
    <w:name w:val="UserStyle_65"/>
    <w:basedOn w:val="1000"/>
    <w:next w:val="1190"/>
    <w:link w:val="1000"/>
    <w:uiPriority w:val="99"/>
    <w:qFormat/>
    <w:pPr>
      <w:ind w:firstLine="200"/>
    </w:pPr>
    <w:rPr>
      <w:sz w:val="24"/>
      <w:szCs w:val="20"/>
    </w:rPr>
  </w:style>
  <w:style w:type="paragraph" w:styleId="1191">
    <w:name w:val="UserStyle_60"/>
    <w:basedOn w:val="1000"/>
    <w:next w:val="1191"/>
    <w:link w:val="1000"/>
    <w:uiPriority w:val="99"/>
    <w:qFormat/>
    <w:pPr>
      <w:tabs>
        <w:tab w:val="left" w:pos="0" w:leader="none"/>
        <w:tab w:val="left" w:pos="420" w:leader="none"/>
        <w:tab w:val="left" w:pos="709" w:leader="none"/>
      </w:tabs>
    </w:pPr>
    <w:rPr>
      <w:rFonts w:ascii="宋体" w:hAnsi="宋体"/>
      <w:szCs w:val="20"/>
    </w:rPr>
  </w:style>
  <w:style w:type="paragraph" w:styleId="1192">
    <w:name w:val="UserStyle_71"/>
    <w:basedOn w:val="1000"/>
    <w:next w:val="1192"/>
    <w:link w:val="1000"/>
    <w:uiPriority w:val="99"/>
    <w:qFormat/>
    <w:rPr>
      <w:b/>
      <w:bCs/>
      <w:sz w:val="24"/>
    </w:rPr>
  </w:style>
  <w:style w:type="paragraph" w:styleId="1193">
    <w:name w:val="UserStyle_67"/>
    <w:basedOn w:val="1000"/>
    <w:next w:val="1193"/>
    <w:link w:val="1000"/>
    <w:uiPriority w:val="99"/>
    <w:qFormat/>
    <w:pPr>
      <w:ind w:left="830" w:hanging="534"/>
      <w:jc w:val="left"/>
      <w:spacing w:line="480" w:lineRule="exact"/>
    </w:pPr>
    <w:rPr>
      <w:rFonts w:ascii="仿宋_GB2312" w:hAnsi="仿宋_GB2312" w:eastAsia="仿宋_GB2312"/>
      <w:sz w:val="28"/>
      <w:szCs w:val="20"/>
    </w:rPr>
  </w:style>
  <w:style w:type="paragraph" w:styleId="1194">
    <w:name w:val="UserStyle_69"/>
    <w:basedOn w:val="1000"/>
    <w:next w:val="1194"/>
    <w:link w:val="1000"/>
    <w:uiPriority w:val="99"/>
    <w:qFormat/>
    <w:pPr>
      <w:ind w:firstLine="200"/>
      <w:spacing w:line="360" w:lineRule="auto"/>
    </w:pPr>
    <w:rPr>
      <w:rFonts w:ascii="仿宋_GB2312" w:hAnsi="Calibri"/>
      <w:sz w:val="24"/>
      <w:szCs w:val="21"/>
    </w:rPr>
  </w:style>
  <w:style w:type="paragraph" w:styleId="1195">
    <w:name w:val="UserStyle_72"/>
    <w:basedOn w:val="1000"/>
    <w:next w:val="1195"/>
    <w:link w:val="1000"/>
    <w:uiPriority w:val="99"/>
    <w:qFormat/>
    <w:pPr>
      <w:jc w:val="left"/>
      <w:spacing w:before="100" w:beforeAutospacing="1" w:after="100" w:afterAutospacing="1"/>
    </w:pPr>
    <w:rPr>
      <w:rFonts w:ascii="宋体" w:hAnsi="宋体"/>
      <w:sz w:val="24"/>
    </w:rPr>
  </w:style>
  <w:style w:type="paragraph" w:styleId="1196">
    <w:name w:val="修订"/>
    <w:next w:val="1196"/>
    <w:link w:val="1000"/>
    <w:uiPriority w:val="99"/>
    <w:semiHidden/>
    <w:rPr>
      <w:sz w:val="21"/>
      <w:szCs w:val="24"/>
      <w:lang w:val="en-US" w:eastAsia="zh-CN" w:bidi="ar-SA"/>
    </w:rPr>
  </w:style>
  <w:style w:type="paragraph" w:styleId="1197">
    <w:name w:val="UserStyle_64"/>
    <w:basedOn w:val="1000"/>
    <w:next w:val="1197"/>
    <w:link w:val="1000"/>
    <w:uiPriority w:val="99"/>
    <w:qFormat/>
    <w:pPr>
      <w:jc w:val="left"/>
      <w:spacing w:after="160" w:line="240" w:lineRule="exact"/>
    </w:pPr>
    <w:rPr>
      <w:rFonts w:ascii="Verdana" w:hAnsi="Verdana" w:eastAsia="仿宋_GB2312"/>
      <w:sz w:val="24"/>
      <w:szCs w:val="20"/>
      <w:lang w:eastAsia="en-US"/>
    </w:rPr>
  </w:style>
  <w:style w:type="paragraph" w:styleId="1198">
    <w:name w:val="xl69"/>
    <w:basedOn w:val="1000"/>
    <w:next w:val="1198"/>
    <w:link w:val="1000"/>
    <w:uiPriority w:val="99"/>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99">
    <w:name w:val="正文_0"/>
    <w:next w:val="1199"/>
    <w:link w:val="1000"/>
    <w:qFormat/>
    <w:pPr>
      <w:jc w:val="both"/>
      <w:widowControl w:val="off"/>
    </w:pPr>
    <w:rPr>
      <w:rFonts w:ascii="Calibri" w:hAnsi="Calibri"/>
      <w:lang w:val="en-US" w:eastAsia="zh-CN" w:bidi="ar-SA"/>
    </w:rPr>
  </w:style>
  <w:style w:type="paragraph" w:styleId="1200">
    <w:name w:val="Heading71"/>
    <w:basedOn w:val="1000"/>
    <w:next w:val="1000"/>
    <w:link w:val="1000"/>
    <w:uiPriority w:val="99"/>
    <w:qFormat/>
    <w:pPr>
      <w:numPr>
        <w:ilvl w:val="6"/>
        <w:numId w:val="2"/>
      </w:numPr>
      <w:ind w:left="0" w:firstLine="0"/>
      <w:keepLines/>
      <w:keepNext/>
      <w:spacing w:before="240" w:after="64" w:line="320" w:lineRule="auto"/>
      <w:tabs>
        <w:tab w:val="left" w:pos="360" w:leader="none"/>
        <w:tab w:val="left" w:pos="2940" w:leader="none"/>
      </w:tabs>
    </w:pPr>
    <w:rPr>
      <w:b/>
      <w:bCs/>
      <w:sz w:val="24"/>
    </w:rPr>
  </w:style>
  <w:style w:type="paragraph" w:styleId="1201">
    <w:name w:val="UserStyle_66"/>
    <w:basedOn w:val="1000"/>
    <w:next w:val="1201"/>
    <w:link w:val="1000"/>
    <w:uiPriority w:val="99"/>
    <w:qFormat/>
    <w:pPr>
      <w:jc w:val="left"/>
      <w:spacing w:after="160" w:line="240" w:lineRule="exact"/>
    </w:pPr>
  </w:style>
  <w:style w:type="paragraph" w:styleId="1202">
    <w:name w:val="xl70"/>
    <w:basedOn w:val="1000"/>
    <w:next w:val="1202"/>
    <w:link w:val="1000"/>
    <w:uiPriority w:val="99"/>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03">
    <w:name w:val="纯文本1"/>
    <w:basedOn w:val="1000"/>
    <w:next w:val="1203"/>
    <w:link w:val="1000"/>
    <w:qFormat/>
    <w:pPr>
      <w:widowControl w:val="off"/>
    </w:pPr>
    <w:rPr>
      <w:rFonts w:hint="eastAsia" w:ascii="宋体" w:hAnsi="Courier New" w:eastAsia="楷体_GB2312"/>
      <w:sz w:val="28"/>
      <w:szCs w:val="20"/>
    </w:rPr>
  </w:style>
  <w:style w:type="paragraph" w:styleId="1204">
    <w:name w:val="xl71"/>
    <w:basedOn w:val="1000"/>
    <w:next w:val="1204"/>
    <w:link w:val="1000"/>
    <w:uiPriority w:val="99"/>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05">
    <w:name w:val="UserStyle_59"/>
    <w:basedOn w:val="1000"/>
    <w:next w:val="1205"/>
    <w:link w:val="1000"/>
    <w:uiPriority w:val="99"/>
    <w:qFormat/>
    <w:pPr>
      <w:contextualSpacing/>
      <w:ind w:left="720"/>
      <w:jc w:val="left"/>
    </w:pPr>
    <w:rPr>
      <w:rFonts w:ascii="Arial" w:hAnsi="Arial" w:eastAsia="黑体"/>
      <w:sz w:val="24"/>
      <w:lang w:eastAsia="en-US"/>
    </w:rPr>
  </w:style>
  <w:style w:type="paragraph" w:styleId="1206">
    <w:name w:val="xl74"/>
    <w:basedOn w:val="1000"/>
    <w:next w:val="1206"/>
    <w:link w:val="1000"/>
    <w:uiPriority w:val="99"/>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table" w:styleId="1207">
    <w:name w:val="网格型21"/>
    <w:basedOn w:val="1011"/>
    <w:next w:val="1207"/>
    <w:link w:val="1000"/>
    <w:uiPriority w:val="39"/>
    <w:qFormat/>
    <w:tblPr/>
  </w:style>
  <w:style w:type="table" w:styleId="1208">
    <w:name w:val="TableNormal1"/>
    <w:next w:val="1208"/>
    <w:link w:val="1000"/>
    <w:uiPriority w:val="99"/>
    <w:qFormat/>
    <w:rPr>
      <w:lang w:val="en-US" w:eastAsia="zh-CN" w:bidi="ar-SA"/>
    </w:rPr>
    <w:tblPr/>
  </w:style>
  <w:style w:type="table" w:styleId="1209">
    <w:name w:val="网格型2"/>
    <w:basedOn w:val="1011"/>
    <w:next w:val="1209"/>
    <w:link w:val="1000"/>
    <w:uiPriority w:val="39"/>
    <w:qFormat/>
    <w:rPr>
      <w:rFonts w:ascii="等线" w:hAnsi="等线" w:eastAsia="等线"/>
    </w:rPr>
    <w:tblPr/>
  </w:style>
  <w:style w:type="table" w:styleId="1210">
    <w:name w:val="TableGrid1"/>
    <w:basedOn w:val="1208"/>
    <w:next w:val="1210"/>
    <w:link w:val="1000"/>
    <w:uiPriority w:val="99"/>
    <w:qFormat/>
    <w:tblPr/>
  </w:style>
  <w:style w:type="table" w:styleId="1211">
    <w:name w:val="网格型3"/>
    <w:basedOn w:val="1011"/>
    <w:next w:val="1211"/>
    <w:link w:val="1000"/>
    <w:uiPriority w:val="39"/>
    <w:rPr>
      <w:rFonts w:ascii="等线" w:hAnsi="等线" w:eastAsia="等线" w:cs="Times New Roman"/>
      <w:sz w:val="21"/>
      <w:szCs w:val="24"/>
    </w:rPr>
    <w:tblPr/>
  </w:style>
  <w:style w:type="table" w:styleId="1212">
    <w:name w:val="网格型1"/>
    <w:next w:val="1212"/>
    <w:link w:val="1000"/>
    <w:uiPriority w:val="99"/>
    <w:qFormat/>
    <w:pPr>
      <w:jc w:val="both"/>
      <w:widowControl w:val="off"/>
    </w:pPr>
    <w:rPr>
      <w:lang w:val="en-US" w:eastAsia="zh-CN" w:bidi="ar-SA"/>
    </w:rPr>
    <w:tblPr/>
  </w:style>
  <w:style w:type="character" w:styleId="1213">
    <w:name w:val="active16"/>
    <w:next w:val="1213"/>
    <w:link w:val="1000"/>
    <w:rPr>
      <w:color w:val="ffffff"/>
      <w:shd w:val="clear" w:color="auto" w:fill="0f5bb9"/>
    </w:rPr>
  </w:style>
  <w:style w:type="paragraph" w:styleId="1214">
    <w:name w:val="AONormal"/>
    <w:next w:val="1214"/>
    <w:link w:val="1000"/>
    <w:qFormat/>
    <w:pPr>
      <w:ind w:firstLine="440"/>
      <w:spacing w:line="400" w:lineRule="exact"/>
    </w:pPr>
    <w:rPr>
      <w:rFonts w:ascii="华文楷体" w:hAnsi="华文楷体" w:eastAsia="华文楷体" w:cs="华文楷体"/>
      <w:sz w:val="22"/>
      <w:szCs w:val="21"/>
      <w:lang w:val="en-US" w:eastAsia="zh-CN" w:bidi="ar-SA"/>
    </w:rPr>
  </w:style>
  <w:style w:type="paragraph" w:styleId="1215">
    <w:name w:val="1.1"/>
    <w:basedOn w:val="1000"/>
    <w:next w:val="1000"/>
    <w:link w:val="1000"/>
    <w:qFormat/>
    <w:pPr>
      <w:spacing w:line="360" w:lineRule="auto"/>
      <w:outlineLvl w:val="1"/>
    </w:pPr>
    <w:rPr>
      <w:rFonts w:ascii="Cambria" w:hAnsi="Cambria" w:eastAsia="黑体"/>
      <w:b/>
      <w:sz w:val="36"/>
    </w:rPr>
  </w:style>
  <w:style w:type="table" w:styleId="1216">
    <w:name w:val="网格型4"/>
    <w:next w:val="1216"/>
    <w:link w:val="1000"/>
    <w:uiPriority w:val="59"/>
    <w:qFormat/>
    <w:rPr>
      <w:lang w:val="en-US" w:eastAsia="zh-CN" w:bidi="ar-SA"/>
    </w:rPr>
    <w:tblPr/>
  </w:style>
  <w:style w:type="table" w:styleId="1217">
    <w:name w:val="网格型5"/>
    <w:next w:val="1217"/>
    <w:link w:val="1000"/>
    <w:uiPriority w:val="59"/>
    <w:qFormat/>
    <w:rPr>
      <w:lang w:val="en-US" w:eastAsia="zh-CN" w:bidi="ar-SA"/>
    </w:rPr>
    <w:tblPr/>
  </w:style>
  <w:style w:type="table" w:styleId="1218">
    <w:name w:val="网格型6"/>
    <w:next w:val="1218"/>
    <w:link w:val="1000"/>
    <w:uiPriority w:val="59"/>
    <w:qFormat/>
    <w:rPr>
      <w:lang w:val="en-US" w:eastAsia="zh-CN" w:bidi="ar-SA"/>
    </w:rPr>
    <w:tblPr/>
  </w:style>
  <w:style w:type="paragraph" w:styleId="1219">
    <w:name w:val="0"/>
    <w:basedOn w:val="1000"/>
    <w:next w:val="1219"/>
    <w:link w:val="1000"/>
    <w:qFormat/>
    <w:pPr>
      <w:widowControl/>
    </w:pPr>
    <w:rPr>
      <w:szCs w:val="20"/>
    </w:rPr>
  </w:style>
  <w:style w:type="character" w:styleId="1220" w:default="1">
    <w:name w:val="Default Paragraph Font"/>
    <w:uiPriority w:val="1"/>
    <w:semiHidden/>
    <w:unhideWhenUsed/>
  </w:style>
  <w:style w:type="numbering" w:styleId="1221" w:default="1">
    <w:name w:val="No List"/>
    <w:uiPriority w:val="99"/>
    <w:semiHidden/>
    <w:unhideWhenUsed/>
  </w:style>
  <w:style w:type="table" w:styleId="122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3988" TargetMode="External"/><Relationship Id="rId1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1988" TargetMode="External"/><Relationship Id="rId15"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1201" TargetMode="External"/><Relationship Id="rId16"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0484" TargetMode="External"/><Relationship Id="rId17"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411" TargetMode="External"/><Relationship Id="rId18"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8834" TargetMode="External"/><Relationship Id="rId1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8119" TargetMode="External"/><Relationship Id="rId2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9950" TargetMode="External"/><Relationship Id="rId2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9588" TargetMode="External"/><Relationship Id="rId2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393" TargetMode="External"/><Relationship Id="rId2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6010" TargetMode="External"/><Relationship Id="rId2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2177" TargetMode="External"/><Relationship Id="rId25"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30300" TargetMode="External"/><Relationship Id="rId26"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8264" TargetMode="External"/><Relationship Id="rId27"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5882" TargetMode="External"/><Relationship Id="rId28"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9975" TargetMode="External"/><Relationship Id="rId2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30514" TargetMode="External"/><Relationship Id="rId3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2891" TargetMode="External"/><Relationship Id="rId3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30051" TargetMode="External"/><Relationship Id="rId3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5585" TargetMode="External"/><Relationship Id="rId3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9125" TargetMode="External"/><Relationship Id="rId34" Type="http://schemas.openxmlformats.org/officeDocument/2006/relationships/hyperlink" Target="https://njgc.jfh.com/%EF%BC%89&apos;%E5%8D%97%E4%BA%AC%E5%B8%82%E6%94%BF%E5%BA%9C%E9%87%87%E8%B4%AD%E4%BE%9B%E5%BA%94%E5%95%86%E8%AF%9A%E4%BF%A1%E6%A1%A3%E6%A1%88&apos;%E7%B3%BB%E7%BB%9F%E9%93%BE"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Hewlett-Pack</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309</dc:creator>
  <cp:lastModifiedBy>曹雪（南京江城）</cp:lastModifiedBy>
  <cp:revision>4</cp:revision>
  <dcterms:created xsi:type="dcterms:W3CDTF">2025-07-31T08:40:00Z</dcterms:created>
  <dcterms:modified xsi:type="dcterms:W3CDTF">2026-05-15T07:41:42Z</dcterms:modified>
</cp:coreProperties>
</file>